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916A4D"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E6F2A">
        <w:rPr>
          <w:rFonts w:cs="Arial"/>
          <w:bCs/>
          <w:sz w:val="24"/>
          <w:szCs w:val="24"/>
        </w:rPr>
        <w:t>3GPP TSG RAN WG1 Meeting #</w:t>
      </w:r>
      <w:r w:rsidRPr="007E6F2A">
        <w:rPr>
          <w:rFonts w:eastAsia="MS Mincho" w:cs="Arial"/>
          <w:bCs/>
          <w:sz w:val="24"/>
          <w:szCs w:val="24"/>
          <w:lang w:eastAsia="ja-JP"/>
        </w:rPr>
        <w:t>8</w:t>
      </w:r>
      <w:r w:rsidR="008F4B7E" w:rsidRPr="007E6F2A">
        <w:rPr>
          <w:rFonts w:eastAsia="MS Mincho" w:cs="Arial"/>
          <w:bCs/>
          <w:sz w:val="24"/>
          <w:szCs w:val="24"/>
          <w:lang w:eastAsia="ja-JP"/>
        </w:rPr>
        <w:t>4</w:t>
      </w:r>
      <w:r w:rsidR="0005053C" w:rsidRPr="007E6F2A">
        <w:rPr>
          <w:rFonts w:eastAsia="MS Mincho" w:cs="Arial"/>
          <w:bCs/>
          <w:sz w:val="24"/>
          <w:szCs w:val="24"/>
          <w:lang w:eastAsia="ja-JP"/>
        </w:rPr>
        <w:t>bis</w:t>
      </w:r>
      <w:r w:rsidRPr="007E6F2A">
        <w:rPr>
          <w:rFonts w:eastAsia="MS Mincho" w:cs="Arial"/>
          <w:bCs/>
          <w:sz w:val="24"/>
          <w:szCs w:val="24"/>
          <w:lang w:eastAsia="ja-JP"/>
        </w:rPr>
        <w:tab/>
      </w:r>
      <w:r w:rsidRPr="007E6F2A">
        <w:rPr>
          <w:rFonts w:eastAsia="MS Mincho" w:cs="Arial"/>
          <w:bCs/>
          <w:sz w:val="24"/>
          <w:szCs w:val="24"/>
          <w:lang w:eastAsia="ja-JP"/>
        </w:rPr>
        <w:tab/>
      </w:r>
      <w:r w:rsidR="000179BC" w:rsidRPr="007E6F2A">
        <w:rPr>
          <w:rFonts w:eastAsia="MS Mincho" w:cs="Arial"/>
          <w:bCs/>
          <w:sz w:val="24"/>
          <w:szCs w:val="24"/>
          <w:lang w:eastAsia="ja-JP"/>
        </w:rPr>
        <w:t>R1-</w:t>
      </w:r>
      <w:r w:rsidR="00B553F0" w:rsidRPr="00916A4D">
        <w:t xml:space="preserve"> </w:t>
      </w:r>
      <w:r w:rsidR="00B553F0" w:rsidRPr="00916A4D">
        <w:rPr>
          <w:rFonts w:eastAsia="MS Mincho" w:cs="Arial"/>
          <w:bCs/>
          <w:sz w:val="24"/>
          <w:szCs w:val="24"/>
          <w:lang w:eastAsia="ja-JP"/>
        </w:rPr>
        <w:t>162825</w:t>
      </w:r>
    </w:p>
    <w:p w:rsidR="003B44BB" w:rsidRPr="00744368" w:rsidRDefault="00305AB5" w:rsidP="003B44BB">
      <w:pPr>
        <w:pStyle w:val="Header"/>
        <w:rPr>
          <w:rFonts w:eastAsia="MS Mincho" w:cs="Arial"/>
          <w:bCs/>
          <w:sz w:val="24"/>
          <w:szCs w:val="24"/>
          <w:lang w:val="en-US" w:eastAsia="ja-JP"/>
        </w:rPr>
      </w:pPr>
      <w:r w:rsidRPr="00916A4D">
        <w:rPr>
          <w:rFonts w:eastAsia="MS Mincho" w:cs="Arial"/>
          <w:bCs/>
          <w:sz w:val="24"/>
          <w:szCs w:val="24"/>
          <w:lang w:val="en-US" w:eastAsia="ja-JP"/>
        </w:rPr>
        <w:t>Busan, South Korea</w:t>
      </w:r>
      <w:r w:rsidR="003B44BB" w:rsidRPr="00916A4D">
        <w:rPr>
          <w:rFonts w:eastAsia="MS Mincho" w:cs="Arial"/>
          <w:bCs/>
          <w:sz w:val="24"/>
          <w:szCs w:val="24"/>
          <w:lang w:val="en-US" w:eastAsia="ja-JP"/>
        </w:rPr>
        <w:t>, 1</w:t>
      </w:r>
      <w:r w:rsidRPr="00916A4D">
        <w:rPr>
          <w:rFonts w:eastAsia="MS Mincho" w:cs="Arial"/>
          <w:bCs/>
          <w:sz w:val="24"/>
          <w:szCs w:val="24"/>
          <w:lang w:val="en-US" w:eastAsia="ja-JP"/>
        </w:rPr>
        <w:t>1</w:t>
      </w:r>
      <w:r w:rsidR="003B44BB" w:rsidRPr="00916A4D">
        <w:rPr>
          <w:rFonts w:eastAsia="MS Mincho" w:cs="Arial"/>
          <w:bCs/>
          <w:sz w:val="24"/>
          <w:szCs w:val="24"/>
          <w:vertAlign w:val="superscript"/>
          <w:lang w:val="en-US" w:eastAsia="ja-JP"/>
        </w:rPr>
        <w:t>th</w:t>
      </w:r>
      <w:r w:rsidR="003B44BB" w:rsidRPr="00916A4D">
        <w:rPr>
          <w:rFonts w:eastAsia="MS Mincho" w:cs="Arial"/>
          <w:bCs/>
          <w:sz w:val="24"/>
          <w:szCs w:val="24"/>
          <w:lang w:val="en-US" w:eastAsia="ja-JP"/>
        </w:rPr>
        <w:t xml:space="preserve"> - </w:t>
      </w:r>
      <w:r w:rsidR="008F4B7E" w:rsidRPr="00916A4D">
        <w:rPr>
          <w:rFonts w:eastAsia="MS Mincho" w:cs="Arial"/>
          <w:bCs/>
          <w:sz w:val="24"/>
          <w:szCs w:val="24"/>
          <w:lang w:val="en-US" w:eastAsia="ja-JP"/>
        </w:rPr>
        <w:t>1</w:t>
      </w:r>
      <w:r w:rsidRPr="00916A4D">
        <w:rPr>
          <w:rFonts w:eastAsia="MS Mincho" w:cs="Arial"/>
          <w:bCs/>
          <w:sz w:val="24"/>
          <w:szCs w:val="24"/>
          <w:lang w:val="en-US" w:eastAsia="ja-JP"/>
        </w:rPr>
        <w:t>5</w:t>
      </w:r>
      <w:r w:rsidR="003B44BB" w:rsidRPr="00916A4D">
        <w:rPr>
          <w:rFonts w:eastAsia="MS Mincho" w:cs="Arial"/>
          <w:bCs/>
          <w:sz w:val="24"/>
          <w:szCs w:val="24"/>
          <w:vertAlign w:val="superscript"/>
          <w:lang w:val="en-US" w:eastAsia="ja-JP"/>
        </w:rPr>
        <w:t>th</w:t>
      </w:r>
      <w:r w:rsidR="003B44BB" w:rsidRPr="00916A4D">
        <w:rPr>
          <w:rFonts w:eastAsia="MS Mincho" w:cs="Arial"/>
          <w:bCs/>
          <w:sz w:val="24"/>
          <w:szCs w:val="24"/>
          <w:lang w:val="en-US" w:eastAsia="ja-JP"/>
        </w:rPr>
        <w:t xml:space="preserve"> </w:t>
      </w:r>
      <w:r w:rsidRPr="00916A4D">
        <w:rPr>
          <w:rFonts w:eastAsia="MS Mincho" w:cs="Arial"/>
          <w:bCs/>
          <w:sz w:val="24"/>
          <w:szCs w:val="24"/>
          <w:lang w:val="en-US" w:eastAsia="ja-JP"/>
        </w:rPr>
        <w:t xml:space="preserve">April </w:t>
      </w:r>
      <w:r w:rsidR="003B44BB" w:rsidRPr="00916A4D">
        <w:rPr>
          <w:rFonts w:eastAsia="MS Mincho" w:cs="Arial"/>
          <w:bCs/>
          <w:sz w:val="24"/>
          <w:szCs w:val="24"/>
          <w:lang w:val="en-US" w:eastAsia="ja-JP"/>
        </w:rPr>
        <w:t>201</w:t>
      </w:r>
      <w:r w:rsidR="008F4B7E" w:rsidRPr="00916A4D">
        <w:rPr>
          <w:rFonts w:eastAsia="MS Mincho" w:cs="Arial"/>
          <w:bCs/>
          <w:sz w:val="24"/>
          <w:szCs w:val="24"/>
          <w:lang w:val="en-US" w:eastAsia="ja-JP"/>
        </w:rPr>
        <w:t>6</w:t>
      </w:r>
    </w:p>
    <w:p w:rsidR="00005DBD" w:rsidRPr="00744368" w:rsidRDefault="00005DBD" w:rsidP="00005DBD">
      <w:pPr>
        <w:pStyle w:val="FootnoteText"/>
        <w:rPr>
          <w:lang w:val="en-US"/>
        </w:rPr>
      </w:pPr>
    </w:p>
    <w:p w:rsidR="00005DBD" w:rsidRPr="00744368" w:rsidRDefault="00005DBD" w:rsidP="00005DBD">
      <w:pPr>
        <w:pStyle w:val="TdocHeader2"/>
        <w:jc w:val="left"/>
        <w:rPr>
          <w:sz w:val="20"/>
          <w:lang w:val="en-US"/>
        </w:rPr>
      </w:pPr>
      <w:r w:rsidRPr="00744368">
        <w:rPr>
          <w:sz w:val="20"/>
          <w:lang w:val="en-US"/>
        </w:rPr>
        <w:t xml:space="preserve">Source: </w:t>
      </w:r>
      <w:r w:rsidRPr="00744368">
        <w:rPr>
          <w:sz w:val="20"/>
          <w:lang w:val="en-US"/>
        </w:rPr>
        <w:tab/>
        <w:t>Ericsson</w:t>
      </w:r>
    </w:p>
    <w:p w:rsidR="00005DBD" w:rsidRPr="00744368" w:rsidRDefault="00005DBD" w:rsidP="00005DBD">
      <w:pPr>
        <w:pStyle w:val="TdocHeader2"/>
        <w:jc w:val="left"/>
        <w:rPr>
          <w:sz w:val="20"/>
          <w:lang w:val="en-US"/>
        </w:rPr>
      </w:pPr>
      <w:r w:rsidRPr="00744368">
        <w:rPr>
          <w:sz w:val="20"/>
          <w:lang w:val="en-US"/>
        </w:rPr>
        <w:t>Title:</w:t>
      </w:r>
      <w:bookmarkStart w:id="2" w:name="Title"/>
      <w:bookmarkEnd w:id="2"/>
      <w:r w:rsidRPr="00744368">
        <w:rPr>
          <w:sz w:val="20"/>
          <w:lang w:val="en-US"/>
        </w:rPr>
        <w:tab/>
      </w:r>
      <w:r w:rsidR="00C26457">
        <w:rPr>
          <w:sz w:val="20"/>
          <w:lang w:val="en-US"/>
        </w:rPr>
        <w:t>L1 Format for V2V Transmissions using Sidelink</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916A4D" w:rsidRPr="007E6F2A">
        <w:rPr>
          <w:rFonts w:cs="Arial"/>
          <w:color w:val="312E25"/>
          <w:sz w:val="20"/>
          <w:lang w:eastAsia="sv-SE"/>
        </w:rPr>
        <w:t>7.3.2.1</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C26457" w:rsidRDefault="005F6A48" w:rsidP="00C26457">
      <w:pPr>
        <w:pStyle w:val="BodyText"/>
        <w:spacing w:after="240"/>
        <w:jc w:val="both"/>
        <w:rPr>
          <w:spacing w:val="2"/>
          <w:sz w:val="20"/>
          <w:szCs w:val="20"/>
        </w:rPr>
      </w:pPr>
      <w:r>
        <w:rPr>
          <w:spacing w:val="2"/>
          <w:sz w:val="20"/>
          <w:szCs w:val="20"/>
        </w:rPr>
        <w:t xml:space="preserve">RAN plenary </w:t>
      </w:r>
      <w:r w:rsidR="00C26457">
        <w:rPr>
          <w:spacing w:val="2"/>
          <w:sz w:val="20"/>
          <w:szCs w:val="20"/>
        </w:rPr>
        <w:t>revised the V2V WID as follows:</w:t>
      </w:r>
    </w:p>
    <w:p w:rsidR="00C26457" w:rsidRPr="00C26457" w:rsidRDefault="00C26457" w:rsidP="00C26457">
      <w:pPr>
        <w:pStyle w:val="BodyText"/>
        <w:spacing w:after="240"/>
        <w:ind w:left="284"/>
        <w:jc w:val="both"/>
        <w:rPr>
          <w:i/>
          <w:spacing w:val="2"/>
          <w:sz w:val="20"/>
          <w:szCs w:val="20"/>
        </w:rPr>
      </w:pPr>
      <w:r w:rsidRPr="00C26457">
        <w:rPr>
          <w:i/>
          <w:spacing w:val="2"/>
          <w:sz w:val="20"/>
          <w:szCs w:val="20"/>
        </w:rPr>
        <w:t>The outcome of this work item should be able to support a relative speed of up to 500 km/h with enhancements/changes (e.g., adaptation of code-rate, the DMRS mapping/structure) (if necessary) to the physical layer structure designed for the relative speed up to 280 km/h.</w:t>
      </w:r>
    </w:p>
    <w:p w:rsidR="00C26457" w:rsidRDefault="00C26457" w:rsidP="00C26457">
      <w:pPr>
        <w:pStyle w:val="BodyText"/>
        <w:spacing w:after="240"/>
        <w:jc w:val="both"/>
        <w:rPr>
          <w:spacing w:val="2"/>
          <w:sz w:val="20"/>
          <w:szCs w:val="20"/>
        </w:rPr>
      </w:pPr>
      <w:r>
        <w:rPr>
          <w:spacing w:val="2"/>
          <w:sz w:val="20"/>
          <w:szCs w:val="20"/>
        </w:rPr>
        <w:t xml:space="preserve">During RAN1#84 a general interest in ensuring that LTE-ITS performance exceeds the one of IEEE 802.11p in comparable scenarios was also expressed and supported by Ericsson. </w:t>
      </w:r>
    </w:p>
    <w:p w:rsidR="0082409E" w:rsidRPr="005360AD" w:rsidRDefault="00C26457" w:rsidP="00C26457">
      <w:pPr>
        <w:pStyle w:val="BodyText"/>
        <w:spacing w:after="240"/>
        <w:jc w:val="both"/>
        <w:rPr>
          <w:spacing w:val="2"/>
          <w:sz w:val="20"/>
          <w:szCs w:val="20"/>
        </w:rPr>
      </w:pPr>
      <w:r>
        <w:rPr>
          <w:spacing w:val="2"/>
          <w:sz w:val="20"/>
          <w:szCs w:val="20"/>
        </w:rPr>
        <w:t xml:space="preserve">In this paper we provide proposals to conclude outstanding issues in the L1 design of sidelink for V2V, taking into account both the performance need and the updated WID. Simulation results in support of the proposals are provided in </w:t>
      </w:r>
      <w:r w:rsidR="00B553F0">
        <w:rPr>
          <w:spacing w:val="2"/>
          <w:sz w:val="20"/>
          <w:szCs w:val="20"/>
        </w:rPr>
        <w:fldChar w:fldCharType="begin"/>
      </w:r>
      <w:r w:rsidR="00B553F0">
        <w:rPr>
          <w:spacing w:val="2"/>
          <w:sz w:val="20"/>
          <w:szCs w:val="20"/>
        </w:rPr>
        <w:instrText xml:space="preserve"> REF _Ref447291146 \r \h </w:instrText>
      </w:r>
      <w:r w:rsidR="00B553F0">
        <w:rPr>
          <w:spacing w:val="2"/>
          <w:sz w:val="20"/>
          <w:szCs w:val="20"/>
        </w:rPr>
      </w:r>
      <w:r w:rsidR="00B553F0">
        <w:rPr>
          <w:spacing w:val="2"/>
          <w:sz w:val="20"/>
          <w:szCs w:val="20"/>
        </w:rPr>
        <w:fldChar w:fldCharType="separate"/>
      </w:r>
      <w:r w:rsidR="00777353">
        <w:rPr>
          <w:spacing w:val="2"/>
          <w:sz w:val="20"/>
          <w:szCs w:val="20"/>
        </w:rPr>
        <w:t>[3]</w:t>
      </w:r>
      <w:r w:rsidR="00B553F0">
        <w:rPr>
          <w:spacing w:val="2"/>
          <w:sz w:val="20"/>
          <w:szCs w:val="20"/>
        </w:rPr>
        <w:fldChar w:fldCharType="end"/>
      </w:r>
      <w:r w:rsidR="00B553F0">
        <w:rPr>
          <w:spacing w:val="2"/>
          <w:sz w:val="20"/>
          <w:szCs w:val="20"/>
        </w:rPr>
        <w:fldChar w:fldCharType="begin"/>
      </w:r>
      <w:r w:rsidR="00B553F0">
        <w:rPr>
          <w:spacing w:val="2"/>
          <w:sz w:val="20"/>
          <w:szCs w:val="20"/>
        </w:rPr>
        <w:instrText xml:space="preserve"> REF _Ref447291246 \r \h </w:instrText>
      </w:r>
      <w:r w:rsidR="00B553F0">
        <w:rPr>
          <w:spacing w:val="2"/>
          <w:sz w:val="20"/>
          <w:szCs w:val="20"/>
        </w:rPr>
      </w:r>
      <w:r w:rsidR="00B553F0">
        <w:rPr>
          <w:spacing w:val="2"/>
          <w:sz w:val="20"/>
          <w:szCs w:val="20"/>
        </w:rPr>
        <w:fldChar w:fldCharType="separate"/>
      </w:r>
      <w:r w:rsidR="00777353">
        <w:rPr>
          <w:spacing w:val="2"/>
          <w:sz w:val="20"/>
          <w:szCs w:val="20"/>
        </w:rPr>
        <w:t>[4]</w:t>
      </w:r>
      <w:r w:rsidR="00B553F0">
        <w:rPr>
          <w:spacing w:val="2"/>
          <w:sz w:val="20"/>
          <w:szCs w:val="20"/>
        </w:rPr>
        <w:fldChar w:fldCharType="end"/>
      </w:r>
      <w:r>
        <w:rPr>
          <w:spacing w:val="2"/>
          <w:sz w:val="20"/>
          <w:szCs w:val="20"/>
        </w:rPr>
        <w:t>.</w:t>
      </w:r>
    </w:p>
    <w:p w:rsidR="00D12CCF" w:rsidRDefault="00283FFD" w:rsidP="00D12CCF">
      <w:pPr>
        <w:pStyle w:val="Heading1"/>
      </w:pPr>
      <w:r>
        <w:t>Improvements to physical layer</w:t>
      </w:r>
    </w:p>
    <w:p w:rsidR="00E938D7" w:rsidRDefault="005161E6" w:rsidP="00C26457">
      <w:pPr>
        <w:jc w:val="both"/>
      </w:pPr>
      <w:r>
        <w:t xml:space="preserve">To meet the new requirements in terms of UE relative speed, it is necessary to introduce a new DMRS mapping that allows for accurate channel tracking and esimation. We discuss this in Section </w:t>
      </w:r>
      <w:r>
        <w:fldChar w:fldCharType="begin"/>
      </w:r>
      <w:r>
        <w:instrText xml:space="preserve"> REF _Ref445898625 \r \h </w:instrText>
      </w:r>
      <w:r>
        <w:fldChar w:fldCharType="separate"/>
      </w:r>
      <w:r w:rsidR="00777353">
        <w:t>3</w:t>
      </w:r>
      <w:r>
        <w:fldChar w:fldCharType="end"/>
      </w:r>
      <w:r>
        <w:t xml:space="preserve">. </w:t>
      </w:r>
    </w:p>
    <w:p w:rsidR="005161E6" w:rsidRDefault="005161E6" w:rsidP="00C26457">
      <w:pPr>
        <w:jc w:val="both"/>
      </w:pPr>
      <w:r>
        <w:t xml:space="preserve">To ensure that LTE-ITS provides substantial performance gains at system level over IEEE 802.11p, it is necessary to minimize the impact of the AGC settling period and the Guard Period (GP). We discuss this in Section </w:t>
      </w:r>
      <w:r>
        <w:fldChar w:fldCharType="begin"/>
      </w:r>
      <w:r>
        <w:instrText xml:space="preserve"> REF _Ref445898772 \r \h </w:instrText>
      </w:r>
      <w:r>
        <w:fldChar w:fldCharType="separate"/>
      </w:r>
      <w:r w:rsidR="00777353">
        <w:t>4</w:t>
      </w:r>
      <w:r>
        <w:fldChar w:fldCharType="end"/>
      </w:r>
      <w:r>
        <w:t xml:space="preserve">. </w:t>
      </w:r>
    </w:p>
    <w:p w:rsidR="00C27F9B" w:rsidRPr="00283FFD" w:rsidRDefault="005161E6" w:rsidP="00C26457">
      <w:pPr>
        <w:jc w:val="both"/>
      </w:pPr>
      <w:r>
        <w:t xml:space="preserve">Efficient resource allocation (RA) is essential in achieving good performance. Although we believe that network-aided resource allocation can provide important performance gains, it is also desirable to have efficient autonomous resource allocation. To achieve this, it is not only necessary to have good resource allocation algorithms but also to </w:t>
      </w:r>
      <w:r w:rsidR="003C61A7">
        <w:t xml:space="preserve">ensure that the physical layer structure does </w:t>
      </w:r>
      <w:r w:rsidR="00B553F0">
        <w:t xml:space="preserve">not </w:t>
      </w:r>
      <w:r w:rsidR="003C61A7">
        <w:t xml:space="preserve">become the limiting factor (e.g., due to excessive in-band emissions, etc.). In Section </w:t>
      </w:r>
      <w:r w:rsidR="003C61A7">
        <w:fldChar w:fldCharType="begin"/>
      </w:r>
      <w:r w:rsidR="003C61A7">
        <w:instrText xml:space="preserve"> REF _Ref445899225 \r \h </w:instrText>
      </w:r>
      <w:r w:rsidR="003C61A7">
        <w:fldChar w:fldCharType="separate"/>
      </w:r>
      <w:r w:rsidR="00777353">
        <w:t>5</w:t>
      </w:r>
      <w:r w:rsidR="003C61A7">
        <w:fldChar w:fldCharType="end"/>
      </w:r>
      <w:r w:rsidR="003C61A7">
        <w:t>, we discuss a short-TTI physical layer structure that results in improved system-level performance.</w:t>
      </w:r>
      <w:r w:rsidR="00E938D7">
        <w:t xml:space="preserve"> </w:t>
      </w:r>
    </w:p>
    <w:p w:rsidR="005161E6" w:rsidRDefault="005161E6" w:rsidP="005161E6">
      <w:pPr>
        <w:pStyle w:val="Heading1"/>
        <w:rPr>
          <w:lang w:val="en-US"/>
        </w:rPr>
      </w:pPr>
      <w:bookmarkStart w:id="3" w:name="_Ref445898625"/>
      <w:bookmarkStart w:id="4" w:name="_Ref445894167"/>
      <w:r>
        <w:rPr>
          <w:lang w:val="en-US"/>
        </w:rPr>
        <w:t>DMRS mapping</w:t>
      </w:r>
      <w:bookmarkEnd w:id="3"/>
    </w:p>
    <w:p w:rsidR="005161E6" w:rsidRDefault="005161E6" w:rsidP="005161E6">
      <w:pPr>
        <w:jc w:val="both"/>
        <w:rPr>
          <w:lang w:val="en-US"/>
        </w:rPr>
      </w:pPr>
      <w:r>
        <w:rPr>
          <w:lang w:val="en-US"/>
        </w:rPr>
        <w:t xml:space="preserve">Results in </w:t>
      </w:r>
      <w:r w:rsidR="00B553F0">
        <w:rPr>
          <w:lang w:val="en-US"/>
        </w:rPr>
        <w:fldChar w:fldCharType="begin"/>
      </w:r>
      <w:r w:rsidR="00B553F0">
        <w:rPr>
          <w:lang w:val="en-US"/>
        </w:rPr>
        <w:instrText xml:space="preserve"> REF _Ref447291146 \r \h </w:instrText>
      </w:r>
      <w:r w:rsidR="00B553F0">
        <w:rPr>
          <w:lang w:val="en-US"/>
        </w:rPr>
      </w:r>
      <w:r w:rsidR="00B553F0">
        <w:rPr>
          <w:lang w:val="en-US"/>
        </w:rPr>
        <w:fldChar w:fldCharType="separate"/>
      </w:r>
      <w:r w:rsidR="00777353">
        <w:rPr>
          <w:lang w:val="en-US"/>
        </w:rPr>
        <w:t>[3]</w:t>
      </w:r>
      <w:r w:rsidR="00B553F0">
        <w:rPr>
          <w:lang w:val="en-US"/>
        </w:rPr>
        <w:fldChar w:fldCharType="end"/>
      </w:r>
      <w:r>
        <w:rPr>
          <w:lang w:val="en-US"/>
        </w:rPr>
        <w:t xml:space="preserve"> clearly show that Option 1 mapping is unable to cope with 500km/h relative speed, even when genie-guided frequency offset estimation is idealistically assumed. This proves that the reason for bad performance is not the specific frequency offset estimation algorithm but rather the large time spacing between DMRS symbols, which does not allow good enough interpolation/extrapolation. The obvious solution to the problem is to tighten the spacing between DMRS symbols, which however is too inefficienct unless FDM between data and DMRS is introduced. We thus propose to multiplex DMRS and data in each OFDM symbol by rate matching the OFDM symbols and transmitting DMRS in every 6</w:t>
      </w:r>
      <w:r w:rsidRPr="002019D0">
        <w:rPr>
          <w:i/>
          <w:lang w:val="en-US"/>
        </w:rPr>
        <w:t>-th</w:t>
      </w:r>
      <w:r>
        <w:rPr>
          <w:lang w:val="en-US"/>
        </w:rPr>
        <w:t xml:space="preserve"> subcarrier.</w:t>
      </w:r>
    </w:p>
    <w:p w:rsidR="005161E6" w:rsidRDefault="005161E6" w:rsidP="00A83057">
      <w:pPr>
        <w:jc w:val="both"/>
        <w:rPr>
          <w:lang w:val="en-US"/>
        </w:rPr>
      </w:pPr>
      <w:r>
        <w:rPr>
          <w:lang w:val="en-US"/>
        </w:rPr>
        <w:t xml:space="preserve">We notice that the potential increase in CM is actually not limiting the transmit power unless full BW transmission is assumed as well as no power reduction by, e.g., power control. Based on simulation results by most companies full BW transmission does not seem to be the preferred/typical format. For transmission bandwidth smaller than 10MHz the maximum power of 23dBm cannot be used anyway due to EIRP restrictions in the EU regulations. We also observe that </w:t>
      </w:r>
      <w:r w:rsidR="005B5508">
        <w:rPr>
          <w:lang w:val="en-US"/>
        </w:rPr>
        <w:t>transmission of SA and data in the same subframe is also being considered in RAN1</w:t>
      </w:r>
      <w:r w:rsidR="00A83057">
        <w:rPr>
          <w:lang w:val="en-US"/>
        </w:rPr>
        <w:t xml:space="preserve"> </w:t>
      </w:r>
      <w:r w:rsidR="00A83057">
        <w:rPr>
          <w:lang w:val="en-US"/>
        </w:rPr>
        <w:fldChar w:fldCharType="begin"/>
      </w:r>
      <w:r w:rsidR="00A83057">
        <w:rPr>
          <w:lang w:val="en-US"/>
        </w:rPr>
        <w:instrText xml:space="preserve"> REF _Ref447291879 \r \h </w:instrText>
      </w:r>
      <w:r w:rsidR="00A83057">
        <w:rPr>
          <w:lang w:val="en-US"/>
        </w:rPr>
      </w:r>
      <w:r w:rsidR="00A83057">
        <w:rPr>
          <w:lang w:val="en-US"/>
        </w:rPr>
        <w:fldChar w:fldCharType="separate"/>
      </w:r>
      <w:r w:rsidR="00777353">
        <w:rPr>
          <w:lang w:val="en-US"/>
        </w:rPr>
        <w:t>[5]</w:t>
      </w:r>
      <w:r w:rsidR="00A83057">
        <w:rPr>
          <w:lang w:val="en-US"/>
        </w:rPr>
        <w:fldChar w:fldCharType="end"/>
      </w:r>
      <w:r w:rsidR="005B5508">
        <w:rPr>
          <w:lang w:val="en-US"/>
        </w:rPr>
        <w:t xml:space="preserve">, which also </w:t>
      </w:r>
      <w:proofErr w:type="gramStart"/>
      <w:r w:rsidR="005B5508">
        <w:rPr>
          <w:lang w:val="en-US"/>
        </w:rPr>
        <w:t>increases</w:t>
      </w:r>
      <w:proofErr w:type="gramEnd"/>
      <w:r w:rsidR="005B5508">
        <w:rPr>
          <w:lang w:val="en-US"/>
        </w:rPr>
        <w:t xml:space="preserve"> CM. </w:t>
      </w:r>
    </w:p>
    <w:p w:rsidR="005161E6" w:rsidRPr="00A54F9D" w:rsidRDefault="005161E6" w:rsidP="005161E6">
      <w:pPr>
        <w:jc w:val="both"/>
        <w:rPr>
          <w:lang w:val="en-US"/>
        </w:rPr>
      </w:pPr>
    </w:p>
    <w:p w:rsidR="005161E6" w:rsidRDefault="005161E6" w:rsidP="005161E6">
      <w:pPr>
        <w:jc w:val="center"/>
        <w:rPr>
          <w:lang w:val="en-US"/>
        </w:rPr>
      </w:pPr>
      <w:r>
        <w:rPr>
          <w:b/>
          <w:noProof/>
          <w:lang w:val="en-US"/>
        </w:rPr>
        <w:lastRenderedPageBreak/>
        <w:drawing>
          <wp:inline distT="0" distB="0" distL="0" distR="0" wp14:anchorId="60D055CF" wp14:editId="3378D4A5">
            <wp:extent cx="4633415" cy="2081077"/>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4218" cy="2081437"/>
                    </a:xfrm>
                    <a:prstGeom prst="rect">
                      <a:avLst/>
                    </a:prstGeom>
                    <a:noFill/>
                  </pic:spPr>
                </pic:pic>
              </a:graphicData>
            </a:graphic>
          </wp:inline>
        </w:drawing>
      </w:r>
    </w:p>
    <w:p w:rsidR="005161E6" w:rsidRDefault="005161E6" w:rsidP="005161E6">
      <w:pPr>
        <w:pStyle w:val="Caption"/>
        <w:jc w:val="center"/>
      </w:pPr>
      <w:proofErr w:type="gramStart"/>
      <w:r>
        <w:t xml:space="preserve">Figure </w:t>
      </w:r>
      <w:r>
        <w:fldChar w:fldCharType="begin"/>
      </w:r>
      <w:r>
        <w:instrText xml:space="preserve"> SEQ Figure \* ARABIC </w:instrText>
      </w:r>
      <w:r>
        <w:fldChar w:fldCharType="separate"/>
      </w:r>
      <w:r w:rsidR="00777353">
        <w:rPr>
          <w:noProof/>
        </w:rPr>
        <w:t>1</w:t>
      </w:r>
      <w:r>
        <w:fldChar w:fldCharType="end"/>
      </w:r>
      <w:r>
        <w:t>.</w:t>
      </w:r>
      <w:proofErr w:type="gramEnd"/>
      <w:r>
        <w:t xml:space="preserve"> Generation of DMRS interleaved with data.</w:t>
      </w:r>
    </w:p>
    <w:p w:rsidR="005161E6" w:rsidRPr="002019D0" w:rsidRDefault="005161E6" w:rsidP="005161E6">
      <w:pPr>
        <w:rPr>
          <w:b/>
          <w:i/>
        </w:rPr>
      </w:pPr>
      <w:r w:rsidRPr="002019D0">
        <w:rPr>
          <w:b/>
          <w:i/>
        </w:rPr>
        <w:t>Proposal:</w:t>
      </w:r>
    </w:p>
    <w:p w:rsidR="005161E6" w:rsidRPr="002019D0" w:rsidRDefault="005161E6" w:rsidP="005161E6">
      <w:pPr>
        <w:pStyle w:val="ListParagraph"/>
        <w:numPr>
          <w:ilvl w:val="0"/>
          <w:numId w:val="43"/>
        </w:numPr>
        <w:rPr>
          <w:rFonts w:ascii="Times New Roman" w:hAnsi="Times New Roman" w:cs="Times New Roman"/>
          <w:b/>
          <w:i/>
          <w:sz w:val="20"/>
          <w:szCs w:val="20"/>
        </w:rPr>
      </w:pPr>
      <w:r w:rsidRPr="002019D0">
        <w:rPr>
          <w:rFonts w:ascii="Times New Roman" w:hAnsi="Times New Roman" w:cs="Times New Roman"/>
          <w:b/>
          <w:i/>
          <w:sz w:val="20"/>
          <w:szCs w:val="20"/>
        </w:rPr>
        <w:t>DMRS are transmitted every 6th subcarrier in all OFDM symbols</w:t>
      </w:r>
      <w:r>
        <w:rPr>
          <w:rFonts w:ascii="Times New Roman" w:hAnsi="Times New Roman" w:cs="Times New Roman"/>
          <w:b/>
          <w:i/>
          <w:sz w:val="20"/>
          <w:szCs w:val="20"/>
        </w:rPr>
        <w:t>.</w:t>
      </w:r>
    </w:p>
    <w:p w:rsidR="005161E6" w:rsidRDefault="005161E6" w:rsidP="005161E6">
      <w:pPr>
        <w:pStyle w:val="ListParagraph"/>
        <w:numPr>
          <w:ilvl w:val="1"/>
          <w:numId w:val="43"/>
        </w:numPr>
        <w:rPr>
          <w:rFonts w:ascii="Times New Roman" w:hAnsi="Times New Roman" w:cs="Times New Roman"/>
          <w:b/>
          <w:i/>
          <w:sz w:val="20"/>
          <w:szCs w:val="20"/>
        </w:rPr>
      </w:pPr>
      <w:r>
        <w:rPr>
          <w:rFonts w:ascii="Times New Roman" w:hAnsi="Times New Roman" w:cs="Times New Roman"/>
          <w:b/>
          <w:i/>
          <w:sz w:val="20"/>
          <w:szCs w:val="20"/>
        </w:rPr>
        <w:t>Data is rate matched accordingly.</w:t>
      </w:r>
    </w:p>
    <w:p w:rsidR="005161E6" w:rsidRDefault="005161E6" w:rsidP="005161E6">
      <w:pPr>
        <w:pStyle w:val="ListParagraph"/>
        <w:numPr>
          <w:ilvl w:val="0"/>
          <w:numId w:val="43"/>
        </w:numPr>
        <w:rPr>
          <w:rFonts w:ascii="Times New Roman" w:hAnsi="Times New Roman" w:cs="Times New Roman"/>
          <w:b/>
          <w:i/>
          <w:sz w:val="20"/>
          <w:szCs w:val="20"/>
        </w:rPr>
      </w:pPr>
      <w:r>
        <w:rPr>
          <w:rFonts w:ascii="Times New Roman" w:hAnsi="Times New Roman" w:cs="Times New Roman"/>
          <w:b/>
          <w:i/>
          <w:sz w:val="20"/>
          <w:szCs w:val="20"/>
        </w:rPr>
        <w:t>Inform RAN4 about the DMRS mapping in order to adfjust existing power derating mechanisms if necessary.</w:t>
      </w:r>
    </w:p>
    <w:p w:rsidR="00A35AB4" w:rsidRDefault="00E44785" w:rsidP="00D55E3C">
      <w:pPr>
        <w:pStyle w:val="Heading1"/>
      </w:pPr>
      <w:bookmarkStart w:id="5" w:name="_Ref445898772"/>
      <w:r>
        <w:t xml:space="preserve">Shortened </w:t>
      </w:r>
      <w:r w:rsidR="00A35AB4">
        <w:t>symbols</w:t>
      </w:r>
    </w:p>
    <w:p w:rsidR="00A35AB4" w:rsidRDefault="00A35AB4" w:rsidP="007E6F2A">
      <w:pPr>
        <w:jc w:val="both"/>
      </w:pPr>
      <w:r>
        <w:t xml:space="preserve">It is shown in </w:t>
      </w:r>
      <w:r>
        <w:fldChar w:fldCharType="begin"/>
      </w:r>
      <w:r>
        <w:instrText xml:space="preserve"> REF _Ref447291146 \r \h </w:instrText>
      </w:r>
      <w:r>
        <w:instrText xml:space="preserve"> \* MERGEFORMAT </w:instrText>
      </w:r>
      <w:r>
        <w:fldChar w:fldCharType="separate"/>
      </w:r>
      <w:r w:rsidR="00777353">
        <w:t>[3]</w:t>
      </w:r>
      <w:r>
        <w:fldChar w:fldCharType="end"/>
      </w:r>
      <w:r>
        <w:t xml:space="preserve"> that link performance can be significantly improved by reducing the AGC settling time as well as the guard period at the end of the subframe to ½ OFDM symbol. This can be achieved with minor implementation changes (i.e., without introducing multiple FFT lengths for different symbols in same subframe) by mapping the data subcarriers in a comb fashion to the first and last OFDM symbols in the subframe and thus obtaining a time repetition. In case of the last OFDM symbol in the subframe, the second ½ OFDM symbol is not transmitted since it is used for the GP.The receiver operation is also largely unaffected except for the need to replicate the half symbol in time domain before applying the conventional SC-OFDM receiver. Alternative receiver implementations are of course also possible.</w:t>
      </w:r>
    </w:p>
    <w:p w:rsidR="00A35AB4" w:rsidRPr="00A35AB4" w:rsidRDefault="00A35AB4" w:rsidP="007E6F2A">
      <w:pPr>
        <w:jc w:val="both"/>
      </w:pPr>
      <w:r>
        <w:t>We describe both cases in detail in the following.</w:t>
      </w:r>
    </w:p>
    <w:p w:rsidR="00E44785" w:rsidRDefault="00A35AB4" w:rsidP="00AD2214">
      <w:pPr>
        <w:pStyle w:val="Heading2"/>
      </w:pPr>
      <w:bookmarkStart w:id="6" w:name="_Ref447293970"/>
      <w:r>
        <w:t xml:space="preserve">Shortened </w:t>
      </w:r>
      <w:r w:rsidR="00E44785">
        <w:t>AGC Settling Time</w:t>
      </w:r>
      <w:bookmarkEnd w:id="4"/>
      <w:bookmarkEnd w:id="5"/>
      <w:bookmarkEnd w:id="6"/>
    </w:p>
    <w:p w:rsidR="00E44785" w:rsidRPr="00C03DC2" w:rsidRDefault="00817D30">
      <w:pPr>
        <w:jc w:val="both"/>
      </w:pPr>
      <w:r>
        <w:t>T</w:t>
      </w:r>
      <w:r w:rsidR="00E44785">
        <w:t>he first OFDM symbol in a transmission may be lost due to the settling time of the receiver AGC. We believe that is feasible to reduce this settling period and hence reduce the system overhead. More specifically, we believe that a time interval equivalent to half OFDM symbol (~33.35 µs, with normal CP) is sufficient. Note that this reduced AGC settling period is still significantly larger than the one used by 802.11p receivers.</w:t>
      </w:r>
    </w:p>
    <w:p w:rsidR="00E7361E" w:rsidRDefault="00E7361E" w:rsidP="00C26457">
      <w:pPr>
        <w:jc w:val="both"/>
      </w:pPr>
      <w:r>
        <w:t>To exploit the shortened AGC sett</w:t>
      </w:r>
      <w:r w:rsidR="00E44785">
        <w:t>ling period, we propose to use c</w:t>
      </w:r>
      <w:r>
        <w:t>omb-like transmission of data in the first OFDM symbol</w:t>
      </w:r>
      <w:r w:rsidR="00195B0E">
        <w:t xml:space="preserve">. That is, the transmitter uses only every other subcarrier within its allocated band, setting to zero the remaining subcarriers. In this way, the resulting time-domain vector contains the two identical half-symbols. </w:t>
      </w:r>
      <w:r w:rsidR="006433B2">
        <w:t xml:space="preserve">This is illustrated in </w:t>
      </w:r>
      <w:r w:rsidR="006433B2">
        <w:fldChar w:fldCharType="begin"/>
      </w:r>
      <w:r w:rsidR="006433B2">
        <w:instrText xml:space="preserve"> REF _Ref445739197 \h </w:instrText>
      </w:r>
      <w:r w:rsidR="006433B2">
        <w:fldChar w:fldCharType="separate"/>
      </w:r>
      <w:r w:rsidR="00777353">
        <w:t xml:space="preserve">Figure </w:t>
      </w:r>
      <w:r w:rsidR="00777353">
        <w:rPr>
          <w:noProof/>
        </w:rPr>
        <w:t>2</w:t>
      </w:r>
      <w:r w:rsidR="006433B2">
        <w:fldChar w:fldCharType="end"/>
      </w:r>
      <w:r w:rsidR="006433B2">
        <w:t>.</w:t>
      </w:r>
    </w:p>
    <w:p w:rsidR="006433B2" w:rsidRDefault="00195B0E" w:rsidP="00C26457">
      <w:pPr>
        <w:keepNext/>
        <w:jc w:val="center"/>
      </w:pPr>
      <w:r>
        <w:rPr>
          <w:noProof/>
          <w:lang w:val="en-US"/>
        </w:rPr>
        <w:drawing>
          <wp:inline distT="0" distB="0" distL="0" distR="0" wp14:anchorId="1A26DA3F" wp14:editId="5F8F6127">
            <wp:extent cx="5760000" cy="191508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1915088"/>
                    </a:xfrm>
                    <a:prstGeom prst="rect">
                      <a:avLst/>
                    </a:prstGeom>
                    <a:noFill/>
                  </pic:spPr>
                </pic:pic>
              </a:graphicData>
            </a:graphic>
          </wp:inline>
        </w:drawing>
      </w:r>
    </w:p>
    <w:p w:rsidR="00195B0E" w:rsidRDefault="006433B2" w:rsidP="00C26457">
      <w:pPr>
        <w:pStyle w:val="Caption"/>
        <w:jc w:val="center"/>
      </w:pPr>
      <w:bookmarkStart w:id="7" w:name="_Ref445739197"/>
      <w:proofErr w:type="gramStart"/>
      <w:r>
        <w:t xml:space="preserve">Figure </w:t>
      </w:r>
      <w:r>
        <w:fldChar w:fldCharType="begin"/>
      </w:r>
      <w:r>
        <w:instrText xml:space="preserve"> SEQ Figure \* ARABIC </w:instrText>
      </w:r>
      <w:r>
        <w:fldChar w:fldCharType="separate"/>
      </w:r>
      <w:r w:rsidR="00777353">
        <w:rPr>
          <w:noProof/>
        </w:rPr>
        <w:t>2</w:t>
      </w:r>
      <w:r>
        <w:fldChar w:fldCharType="end"/>
      </w:r>
      <w:bookmarkEnd w:id="7"/>
      <w:r w:rsidR="00DF6EB0">
        <w:t>.</w:t>
      </w:r>
      <w:proofErr w:type="gramEnd"/>
      <w:r w:rsidR="00DF6EB0">
        <w:t xml:space="preserve"> </w:t>
      </w:r>
      <w:proofErr w:type="gramStart"/>
      <w:r w:rsidR="00DF6EB0">
        <w:t>Illustration of generation of a comb-like OFDM symbol at the transmitter.</w:t>
      </w:r>
      <w:proofErr w:type="gramEnd"/>
      <w:r w:rsidR="00DF6EB0">
        <w:t xml:space="preserve"> </w:t>
      </w:r>
    </w:p>
    <w:p w:rsidR="00546E41" w:rsidRDefault="00546E41" w:rsidP="00C26457">
      <w:pPr>
        <w:jc w:val="both"/>
      </w:pPr>
      <w:r>
        <w:t>With the shortened AGC settling period, the first half symbol (of the first OFDM symbol) is lost.</w:t>
      </w:r>
      <w:r w:rsidR="006433B2">
        <w:t xml:space="preserve"> However, the receiver is still able to decode the entire Comb OFDM symbol, since all the information is contained in the second half symbol. The legacy </w:t>
      </w:r>
      <w:r w:rsidR="006433B2">
        <w:lastRenderedPageBreak/>
        <w:t xml:space="preserve">receiver structure </w:t>
      </w:r>
      <w:r w:rsidR="00E17C22">
        <w:t xml:space="preserve">with minor changes </w:t>
      </w:r>
      <w:r w:rsidR="006433B2">
        <w:t xml:space="preserve">can be reused to decode the entire Comb OFDM symbol. For example, the receiver may duplicate the second half symbol, as illustrated in </w:t>
      </w:r>
      <w:r w:rsidR="006433B2">
        <w:fldChar w:fldCharType="begin"/>
      </w:r>
      <w:r w:rsidR="006433B2">
        <w:instrText xml:space="preserve"> REF _Ref445739181 \h </w:instrText>
      </w:r>
      <w:r w:rsidR="006433B2">
        <w:fldChar w:fldCharType="separate"/>
      </w:r>
      <w:r w:rsidR="00777353">
        <w:t xml:space="preserve">Figure </w:t>
      </w:r>
      <w:r w:rsidR="00777353">
        <w:rPr>
          <w:noProof/>
        </w:rPr>
        <w:t>3</w:t>
      </w:r>
      <w:r w:rsidR="006433B2">
        <w:fldChar w:fldCharType="end"/>
      </w:r>
    </w:p>
    <w:p w:rsidR="006433B2" w:rsidRDefault="00AD39F6" w:rsidP="00C26457">
      <w:pPr>
        <w:keepNext/>
        <w:jc w:val="center"/>
      </w:pPr>
      <w:r>
        <w:rPr>
          <w:noProof/>
          <w:lang w:val="en-US"/>
        </w:rPr>
        <w:drawing>
          <wp:inline distT="0" distB="0" distL="0" distR="0" wp14:anchorId="68D04409" wp14:editId="18CEFCB1">
            <wp:extent cx="5760000" cy="1575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1575250"/>
                    </a:xfrm>
                    <a:prstGeom prst="rect">
                      <a:avLst/>
                    </a:prstGeom>
                    <a:noFill/>
                  </pic:spPr>
                </pic:pic>
              </a:graphicData>
            </a:graphic>
          </wp:inline>
        </w:drawing>
      </w:r>
    </w:p>
    <w:p w:rsidR="006433B2" w:rsidRDefault="006433B2" w:rsidP="00C26457">
      <w:pPr>
        <w:pStyle w:val="Caption"/>
        <w:jc w:val="center"/>
      </w:pPr>
      <w:bookmarkStart w:id="8" w:name="_Ref445739181"/>
      <w:proofErr w:type="gramStart"/>
      <w:r>
        <w:t xml:space="preserve">Figure </w:t>
      </w:r>
      <w:r>
        <w:fldChar w:fldCharType="begin"/>
      </w:r>
      <w:r>
        <w:instrText xml:space="preserve"> SEQ Figure \* ARABIC </w:instrText>
      </w:r>
      <w:r>
        <w:fldChar w:fldCharType="separate"/>
      </w:r>
      <w:r w:rsidR="00777353">
        <w:rPr>
          <w:noProof/>
        </w:rPr>
        <w:t>3</w:t>
      </w:r>
      <w:r>
        <w:fldChar w:fldCharType="end"/>
      </w:r>
      <w:bookmarkEnd w:id="8"/>
      <w:r w:rsidR="00DF6EB0">
        <w:t>.</w:t>
      </w:r>
      <w:proofErr w:type="gramEnd"/>
      <w:r w:rsidR="00DF6EB0">
        <w:t xml:space="preserve"> </w:t>
      </w:r>
      <w:proofErr w:type="gramStart"/>
      <w:r w:rsidR="00E44785">
        <w:t>Example of receiver processing for reconstruction of the</w:t>
      </w:r>
      <w:r w:rsidR="00DF6EB0">
        <w:t xml:space="preserve"> OFDM symbol from the second half symbol.</w:t>
      </w:r>
      <w:proofErr w:type="gramEnd"/>
    </w:p>
    <w:p w:rsidR="004B5117" w:rsidRPr="00C03DC2" w:rsidRDefault="004B5117" w:rsidP="007E6F2A">
      <w:pPr>
        <w:rPr>
          <w:b/>
          <w:i/>
        </w:rPr>
      </w:pPr>
      <w:r w:rsidRPr="00C26457">
        <w:rPr>
          <w:b/>
          <w:i/>
        </w:rPr>
        <w:t>Proposal</w:t>
      </w:r>
      <w:r w:rsidR="007E6F2A">
        <w:rPr>
          <w:b/>
          <w:i/>
        </w:rPr>
        <w:t>s</w:t>
      </w:r>
      <w:r w:rsidRPr="00C26457">
        <w:rPr>
          <w:b/>
          <w:i/>
        </w:rPr>
        <w:t>:</w:t>
      </w:r>
    </w:p>
    <w:p w:rsidR="00E44785" w:rsidRPr="00E44785" w:rsidRDefault="00C03DC2" w:rsidP="00E44785">
      <w:pPr>
        <w:pStyle w:val="ListParagraph"/>
        <w:numPr>
          <w:ilvl w:val="0"/>
          <w:numId w:val="40"/>
        </w:numPr>
        <w:rPr>
          <w:b/>
          <w:i/>
        </w:rPr>
      </w:pPr>
      <w:r w:rsidRPr="00C03DC2">
        <w:rPr>
          <w:rFonts w:ascii="Times New Roman" w:hAnsi="Times New Roman" w:cs="Times New Roman"/>
          <w:b/>
          <w:i/>
          <w:sz w:val="20"/>
          <w:szCs w:val="20"/>
        </w:rPr>
        <w:t>Comb-like</w:t>
      </w:r>
      <w:r>
        <w:rPr>
          <w:rFonts w:ascii="Times New Roman" w:hAnsi="Times New Roman" w:cs="Times New Roman"/>
          <w:b/>
          <w:i/>
          <w:sz w:val="20"/>
          <w:szCs w:val="20"/>
        </w:rPr>
        <w:t xml:space="preserve"> transmission is used for the first OFDM symbol.</w:t>
      </w:r>
    </w:p>
    <w:p w:rsidR="00E44785" w:rsidRPr="00C03DC2" w:rsidRDefault="00E44785" w:rsidP="00E44785">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Inform RAN4 that halved AGC settling time is assumed by RAN1.</w:t>
      </w:r>
    </w:p>
    <w:p w:rsidR="00E44785" w:rsidRPr="00E44785" w:rsidRDefault="00E44785" w:rsidP="00E44785">
      <w:pPr>
        <w:rPr>
          <w:b/>
          <w:i/>
          <w:lang w:val="en-US"/>
        </w:rPr>
      </w:pPr>
    </w:p>
    <w:p w:rsidR="00283FFD" w:rsidRPr="00283FFD" w:rsidRDefault="00283FFD" w:rsidP="007E6F2A">
      <w:pPr>
        <w:pStyle w:val="Heading2"/>
      </w:pPr>
      <w:bookmarkStart w:id="9" w:name="_Ref445894169"/>
      <w:r>
        <w:t>Shortened guard period</w:t>
      </w:r>
      <w:bookmarkEnd w:id="9"/>
    </w:p>
    <w:p w:rsidR="00AD2214" w:rsidRDefault="00A35AB4" w:rsidP="00AD2214">
      <w:pPr>
        <w:jc w:val="both"/>
      </w:pPr>
      <w:r>
        <w:t xml:space="preserve">Based on propagation time considerations, we believe that for the typical communication distances and transmit powers used by V2V </w:t>
      </w:r>
      <w:proofErr w:type="gramStart"/>
      <w:r>
        <w:t>UEs,</w:t>
      </w:r>
      <w:proofErr w:type="gramEnd"/>
      <w:r>
        <w:t xml:space="preserve"> it suffices with a shortened GP. For example, a GP with half symbol duration </w:t>
      </w:r>
      <w:r>
        <w:t>(~</w:t>
      </w:r>
      <w:r>
        <w:t>33.35</w:t>
      </w:r>
      <w:r>
        <w:t xml:space="preserve"> µs, with normal CP)</w:t>
      </w:r>
      <w:r w:rsidR="00AD2214">
        <w:t xml:space="preserve"> is sufficient for timing misalignements between UEs</w:t>
      </w:r>
      <w:r w:rsidR="00777353">
        <w:t xml:space="preserve"> up to 10 km from each other</w:t>
      </w:r>
      <w:r w:rsidR="00AD2214">
        <w:t>. This leaves part of the OFDM symbol usable for transmission.</w:t>
      </w:r>
    </w:p>
    <w:p w:rsidR="00E17C22" w:rsidRDefault="00CC404B" w:rsidP="00E3575D">
      <w:pPr>
        <w:jc w:val="both"/>
      </w:pPr>
      <w:r>
        <w:t xml:space="preserve">We propose to </w:t>
      </w:r>
      <w:r w:rsidR="00E17C22">
        <w:t xml:space="preserve">transmit during the first half of the last OFDM symbol. For </w:t>
      </w:r>
      <w:r w:rsidR="007E6F2A">
        <w:t>generating the singal</w:t>
      </w:r>
      <w:r w:rsidR="00E17C22">
        <w:t xml:space="preserve">, we propose to utilize the scheme illustrated in </w:t>
      </w:r>
      <w:r w:rsidR="00E17C22">
        <w:fldChar w:fldCharType="begin"/>
      </w:r>
      <w:r w:rsidR="00E17C22">
        <w:instrText xml:space="preserve"> REF _Ref445739197 \h </w:instrText>
      </w:r>
      <w:r w:rsidR="00E17C22">
        <w:fldChar w:fldCharType="separate"/>
      </w:r>
      <w:r w:rsidR="00777353">
        <w:t xml:space="preserve">Figure </w:t>
      </w:r>
      <w:r w:rsidR="00777353">
        <w:rPr>
          <w:noProof/>
        </w:rPr>
        <w:t>2</w:t>
      </w:r>
      <w:r w:rsidR="00E17C22">
        <w:fldChar w:fldCharType="end"/>
      </w:r>
      <w:r w:rsidR="00E17C22">
        <w:t xml:space="preserve">. However, to realize the guard period, only the first half symbol is transmitted. Again, the legacy receiver structure with minor changes can </w:t>
      </w:r>
      <w:r w:rsidR="001A380F">
        <w:t>be reused to decode the entire c</w:t>
      </w:r>
      <w:r w:rsidR="00E17C22">
        <w:t xml:space="preserve">omb OFDM symbol. For example, the receiver may duplicate the second half symbol, as illustrated in </w:t>
      </w:r>
      <w:r w:rsidR="00E17C22">
        <w:fldChar w:fldCharType="begin"/>
      </w:r>
      <w:r w:rsidR="00E17C22">
        <w:instrText xml:space="preserve"> REF _Ref445740623 \h </w:instrText>
      </w:r>
      <w:r w:rsidR="00E17C22">
        <w:fldChar w:fldCharType="separate"/>
      </w:r>
      <w:r w:rsidR="00777353">
        <w:t xml:space="preserve">Figure </w:t>
      </w:r>
      <w:r w:rsidR="00777353">
        <w:rPr>
          <w:noProof/>
        </w:rPr>
        <w:t>4</w:t>
      </w:r>
      <w:r w:rsidR="00E17C22">
        <w:fldChar w:fldCharType="end"/>
      </w:r>
      <w:r w:rsidR="00E17C22">
        <w:t>.</w:t>
      </w:r>
    </w:p>
    <w:p w:rsidR="00E17C22" w:rsidRDefault="00C27F9B" w:rsidP="00C26457">
      <w:pPr>
        <w:keepNext/>
        <w:jc w:val="center"/>
      </w:pPr>
      <w:r>
        <w:rPr>
          <w:noProof/>
          <w:lang w:val="en-US"/>
        </w:rPr>
        <w:drawing>
          <wp:inline distT="0" distB="0" distL="0" distR="0" wp14:anchorId="274411A0" wp14:editId="7964EE74">
            <wp:extent cx="5760000" cy="15729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1572945"/>
                    </a:xfrm>
                    <a:prstGeom prst="rect">
                      <a:avLst/>
                    </a:prstGeom>
                    <a:noFill/>
                  </pic:spPr>
                </pic:pic>
              </a:graphicData>
            </a:graphic>
          </wp:inline>
        </w:drawing>
      </w:r>
    </w:p>
    <w:p w:rsidR="00E44785" w:rsidRDefault="00E17C22" w:rsidP="00E44785">
      <w:pPr>
        <w:pStyle w:val="Caption"/>
        <w:jc w:val="center"/>
      </w:pPr>
      <w:bookmarkStart w:id="10" w:name="_Ref445740623"/>
      <w:proofErr w:type="gramStart"/>
      <w:r>
        <w:t xml:space="preserve">Figure </w:t>
      </w:r>
      <w:r>
        <w:fldChar w:fldCharType="begin"/>
      </w:r>
      <w:r>
        <w:instrText xml:space="preserve"> SEQ Figure \* ARABIC </w:instrText>
      </w:r>
      <w:r>
        <w:fldChar w:fldCharType="separate"/>
      </w:r>
      <w:r w:rsidR="00777353">
        <w:rPr>
          <w:noProof/>
        </w:rPr>
        <w:t>4</w:t>
      </w:r>
      <w:r>
        <w:fldChar w:fldCharType="end"/>
      </w:r>
      <w:bookmarkEnd w:id="10"/>
      <w:r w:rsidR="00DF6EB0">
        <w:t>.</w:t>
      </w:r>
      <w:proofErr w:type="gramEnd"/>
      <w:r w:rsidR="00DF6EB0">
        <w:t xml:space="preserve"> </w:t>
      </w:r>
      <w:proofErr w:type="gramStart"/>
      <w:r w:rsidR="00E44785">
        <w:t>Example of receiver processing for reconstruction of the OFDM symbol from the first half symbol.</w:t>
      </w:r>
      <w:proofErr w:type="gramEnd"/>
    </w:p>
    <w:p w:rsidR="00C03DC2" w:rsidRPr="00C03DC2" w:rsidRDefault="00C03DC2" w:rsidP="007E6F2A">
      <w:pPr>
        <w:spacing w:before="240"/>
        <w:rPr>
          <w:b/>
          <w:i/>
        </w:rPr>
      </w:pPr>
      <w:r w:rsidRPr="00C03DC2">
        <w:rPr>
          <w:b/>
          <w:i/>
        </w:rPr>
        <w:t>Proposal:</w:t>
      </w:r>
    </w:p>
    <w:p w:rsidR="00A72EAB" w:rsidRPr="007E6F2A" w:rsidRDefault="00C03DC2" w:rsidP="007E6F2A">
      <w:pPr>
        <w:pStyle w:val="ListParagraph"/>
        <w:numPr>
          <w:ilvl w:val="0"/>
          <w:numId w:val="40"/>
        </w:numPr>
        <w:jc w:val="both"/>
        <w:rPr>
          <w:b/>
          <w:i/>
        </w:rPr>
      </w:pPr>
      <w:r w:rsidRPr="00C26457">
        <w:rPr>
          <w:rFonts w:ascii="Times New Roman" w:hAnsi="Times New Roman" w:cs="Times New Roman"/>
          <w:b/>
          <w:i/>
          <w:sz w:val="20"/>
          <w:szCs w:val="20"/>
        </w:rPr>
        <w:t>Comb-l</w:t>
      </w:r>
      <w:r w:rsidR="001A380F">
        <w:rPr>
          <w:rFonts w:ascii="Times New Roman" w:hAnsi="Times New Roman" w:cs="Times New Roman"/>
          <w:b/>
          <w:i/>
          <w:sz w:val="20"/>
          <w:szCs w:val="20"/>
        </w:rPr>
        <w:t>ike transmission is used for generating the last symbol in the subframe</w:t>
      </w:r>
      <w:r>
        <w:rPr>
          <w:rFonts w:ascii="Times New Roman" w:hAnsi="Times New Roman" w:cs="Times New Roman"/>
          <w:b/>
          <w:i/>
          <w:sz w:val="20"/>
          <w:szCs w:val="20"/>
        </w:rPr>
        <w:t>. Only the first half symbol is actually transmitted</w:t>
      </w:r>
      <w:r w:rsidRPr="00C26457">
        <w:rPr>
          <w:rFonts w:ascii="Times New Roman" w:hAnsi="Times New Roman" w:cs="Times New Roman"/>
          <w:b/>
          <w:i/>
          <w:sz w:val="20"/>
          <w:szCs w:val="20"/>
        </w:rPr>
        <w:t>.</w:t>
      </w:r>
    </w:p>
    <w:p w:rsidR="00A72EAB" w:rsidRDefault="00CE444B" w:rsidP="00A72EAB">
      <w:pPr>
        <w:pStyle w:val="Heading1"/>
        <w:rPr>
          <w:lang w:val="en-US"/>
        </w:rPr>
      </w:pPr>
      <w:bookmarkStart w:id="11" w:name="_Ref445899225"/>
      <w:r>
        <w:rPr>
          <w:lang w:val="en-US"/>
        </w:rPr>
        <w:t xml:space="preserve">Reduced </w:t>
      </w:r>
      <w:r w:rsidR="00A72EAB">
        <w:rPr>
          <w:lang w:val="en-US"/>
        </w:rPr>
        <w:t>TTI Duration</w:t>
      </w:r>
      <w:bookmarkEnd w:id="11"/>
    </w:p>
    <w:p w:rsidR="00A72EAB" w:rsidRDefault="004B287D" w:rsidP="007E6F2A">
      <w:pPr>
        <w:jc w:val="both"/>
        <w:rPr>
          <w:lang w:val="en-US"/>
        </w:rPr>
      </w:pPr>
      <w:r>
        <w:rPr>
          <w:lang w:val="en-US"/>
        </w:rPr>
        <w:t xml:space="preserve">One additional enhancement includes shortening the TTI duration to 0.5ms, which gives good gains at system level thanks to </w:t>
      </w:r>
      <w:r w:rsidR="00CE444B">
        <w:rPr>
          <w:lang w:val="en-US"/>
        </w:rPr>
        <w:t>less frequency multiplexing which reduces the impact of inband emissions and simplifies scheduling</w:t>
      </w:r>
      <w:r>
        <w:rPr>
          <w:lang w:val="en-US"/>
        </w:rPr>
        <w:t xml:space="preserve"> </w:t>
      </w:r>
      <w:r w:rsidR="00B553F0">
        <w:rPr>
          <w:lang w:val="en-US"/>
        </w:rPr>
        <w:fldChar w:fldCharType="begin"/>
      </w:r>
      <w:r w:rsidR="00B553F0">
        <w:rPr>
          <w:lang w:val="en-US"/>
        </w:rPr>
        <w:instrText xml:space="preserve"> REF _Ref447291246 \r \h </w:instrText>
      </w:r>
      <w:r w:rsidR="00B553F0">
        <w:rPr>
          <w:lang w:val="en-US"/>
        </w:rPr>
      </w:r>
      <w:r w:rsidR="00B553F0">
        <w:rPr>
          <w:lang w:val="en-US"/>
        </w:rPr>
        <w:fldChar w:fldCharType="separate"/>
      </w:r>
      <w:r w:rsidR="00777353">
        <w:rPr>
          <w:lang w:val="en-US"/>
        </w:rPr>
        <w:t>[4]</w:t>
      </w:r>
      <w:r w:rsidR="00B553F0">
        <w:rPr>
          <w:lang w:val="en-US"/>
        </w:rPr>
        <w:fldChar w:fldCharType="end"/>
      </w:r>
      <w:r>
        <w:rPr>
          <w:lang w:val="en-US"/>
        </w:rPr>
        <w:t xml:space="preserve">. </w:t>
      </w:r>
      <w:r w:rsidR="00CE444B">
        <w:rPr>
          <w:lang w:val="en-US"/>
        </w:rPr>
        <w:t xml:space="preserve">The link study in </w:t>
      </w:r>
      <w:r w:rsidR="00B553F0">
        <w:rPr>
          <w:lang w:val="en-US"/>
        </w:rPr>
        <w:fldChar w:fldCharType="begin"/>
      </w:r>
      <w:r w:rsidR="00B553F0">
        <w:rPr>
          <w:lang w:val="en-US"/>
        </w:rPr>
        <w:instrText xml:space="preserve"> REF _Ref447291146 \r \h </w:instrText>
      </w:r>
      <w:r w:rsidR="00B553F0">
        <w:rPr>
          <w:lang w:val="en-US"/>
        </w:rPr>
      </w:r>
      <w:r w:rsidR="00B553F0">
        <w:rPr>
          <w:lang w:val="en-US"/>
        </w:rPr>
        <w:fldChar w:fldCharType="separate"/>
      </w:r>
      <w:r w:rsidR="00777353">
        <w:rPr>
          <w:lang w:val="en-US"/>
        </w:rPr>
        <w:t>[3]</w:t>
      </w:r>
      <w:r w:rsidR="00B553F0">
        <w:rPr>
          <w:lang w:val="en-US"/>
        </w:rPr>
        <w:fldChar w:fldCharType="end"/>
      </w:r>
      <w:r w:rsidR="00CE444B">
        <w:rPr>
          <w:lang w:val="en-US"/>
        </w:rPr>
        <w:t xml:space="preserve"> shows good link level performance for the format proposed in </w:t>
      </w:r>
      <w:r w:rsidR="00CE444B">
        <w:rPr>
          <w:lang w:val="en-US"/>
        </w:rPr>
        <w:fldChar w:fldCharType="begin"/>
      </w:r>
      <w:r w:rsidR="00CE444B">
        <w:rPr>
          <w:lang w:val="en-US"/>
        </w:rPr>
        <w:instrText xml:space="preserve"> REF _Ref445894604 \h </w:instrText>
      </w:r>
      <w:r w:rsidR="00A00DD5">
        <w:rPr>
          <w:lang w:val="en-US"/>
        </w:rPr>
        <w:instrText xml:space="preserve"> \* MERGEFORMAT </w:instrText>
      </w:r>
      <w:r w:rsidR="00CE444B">
        <w:rPr>
          <w:lang w:val="en-US"/>
        </w:rPr>
      </w:r>
      <w:r w:rsidR="00CE444B">
        <w:rPr>
          <w:lang w:val="en-US"/>
        </w:rPr>
        <w:fldChar w:fldCharType="separate"/>
      </w:r>
      <w:r w:rsidR="00777353">
        <w:t xml:space="preserve">Figure </w:t>
      </w:r>
      <w:r w:rsidR="00777353">
        <w:rPr>
          <w:noProof/>
        </w:rPr>
        <w:t>5</w:t>
      </w:r>
      <w:r w:rsidR="00CE444B">
        <w:rPr>
          <w:lang w:val="en-US"/>
        </w:rPr>
        <w:fldChar w:fldCharType="end"/>
      </w:r>
      <w:r w:rsidR="00CE444B">
        <w:rPr>
          <w:lang w:val="en-US"/>
        </w:rPr>
        <w:t>.</w:t>
      </w:r>
    </w:p>
    <w:p w:rsidR="00CE444B" w:rsidRPr="004B287D" w:rsidRDefault="00CE444B" w:rsidP="007E6F2A">
      <w:pPr>
        <w:jc w:val="both"/>
        <w:rPr>
          <w:lang w:val="en-US"/>
        </w:rPr>
      </w:pPr>
      <w:r>
        <w:rPr>
          <w:lang w:val="en-US"/>
        </w:rPr>
        <w:t xml:space="preserve">We observe that the good gains are achieved without any need to increase subcarrier spacing and we thus prefer to maintain </w:t>
      </w:r>
      <w:proofErr w:type="gramStart"/>
      <w:r>
        <w:rPr>
          <w:lang w:val="en-US"/>
        </w:rPr>
        <w:t>15kHz</w:t>
      </w:r>
      <w:proofErr w:type="gramEnd"/>
      <w:r>
        <w:rPr>
          <w:lang w:val="en-US"/>
        </w:rPr>
        <w:t xml:space="preserve"> spacing in order to contain the specification and standardization impact. </w:t>
      </w:r>
    </w:p>
    <w:p w:rsidR="00A72EAB" w:rsidRDefault="00E938D7" w:rsidP="004B287D">
      <w:pPr>
        <w:jc w:val="center"/>
        <w:rPr>
          <w:lang w:val="en-US"/>
        </w:rPr>
      </w:pPr>
      <w:r>
        <w:rPr>
          <w:noProof/>
          <w:lang w:val="en-US"/>
        </w:rPr>
        <w:lastRenderedPageBreak/>
        <w:drawing>
          <wp:inline distT="0" distB="0" distL="0" distR="0" wp14:anchorId="582FBAF7" wp14:editId="3A248872">
            <wp:extent cx="3877310" cy="1657985"/>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7310" cy="1657985"/>
                    </a:xfrm>
                    <a:prstGeom prst="rect">
                      <a:avLst/>
                    </a:prstGeom>
                    <a:noFill/>
                  </pic:spPr>
                </pic:pic>
              </a:graphicData>
            </a:graphic>
          </wp:inline>
        </w:drawing>
      </w:r>
    </w:p>
    <w:p w:rsidR="00A72EAB" w:rsidRDefault="00A72EAB" w:rsidP="00A72EAB">
      <w:pPr>
        <w:pStyle w:val="Caption"/>
        <w:jc w:val="center"/>
      </w:pPr>
      <w:bookmarkStart w:id="12" w:name="_Ref445894604"/>
      <w:proofErr w:type="gramStart"/>
      <w:r>
        <w:t xml:space="preserve">Figure </w:t>
      </w:r>
      <w:r>
        <w:fldChar w:fldCharType="begin"/>
      </w:r>
      <w:r>
        <w:instrText xml:space="preserve"> SEQ Figure \* ARABIC </w:instrText>
      </w:r>
      <w:r>
        <w:fldChar w:fldCharType="separate"/>
      </w:r>
      <w:r w:rsidR="00777353">
        <w:rPr>
          <w:noProof/>
        </w:rPr>
        <w:t>5</w:t>
      </w:r>
      <w:r>
        <w:fldChar w:fldCharType="end"/>
      </w:r>
      <w:bookmarkEnd w:id="12"/>
      <w:r>
        <w:t>.</w:t>
      </w:r>
      <w:proofErr w:type="gramEnd"/>
      <w:r>
        <w:t xml:space="preserve"> </w:t>
      </w:r>
      <w:proofErr w:type="gramStart"/>
      <w:r>
        <w:t>Proposed L1 format.</w:t>
      </w:r>
      <w:proofErr w:type="gramEnd"/>
      <w:r w:rsidR="004B287D">
        <w:t xml:space="preserve"> The first and last OFDM symbols are generated with comb mapping (see Sections </w:t>
      </w:r>
      <w:r w:rsidR="00777353">
        <w:fldChar w:fldCharType="begin"/>
      </w:r>
      <w:r w:rsidR="00777353">
        <w:instrText xml:space="preserve"> REF _Ref447293970 \r \h </w:instrText>
      </w:r>
      <w:r w:rsidR="00777353">
        <w:fldChar w:fldCharType="separate"/>
      </w:r>
      <w:r w:rsidR="00777353">
        <w:t>4.1</w:t>
      </w:r>
      <w:r w:rsidR="00777353">
        <w:fldChar w:fldCharType="end"/>
      </w:r>
      <w:r w:rsidR="004B287D">
        <w:t xml:space="preserve">, </w:t>
      </w:r>
      <w:r w:rsidR="004B287D">
        <w:fldChar w:fldCharType="begin"/>
      </w:r>
      <w:r w:rsidR="004B287D">
        <w:instrText xml:space="preserve"> REF _Ref445894169 \r \h </w:instrText>
      </w:r>
      <w:r w:rsidR="004B287D">
        <w:fldChar w:fldCharType="separate"/>
      </w:r>
      <w:r w:rsidR="00777353">
        <w:t>4.2</w:t>
      </w:r>
      <w:r w:rsidR="004B287D">
        <w:fldChar w:fldCharType="end"/>
      </w:r>
      <w:r w:rsidR="004B287D">
        <w:t xml:space="preserve">). </w:t>
      </w:r>
    </w:p>
    <w:p w:rsidR="00CE444B" w:rsidRPr="00CE444B" w:rsidRDefault="00CE444B" w:rsidP="00A72EAB">
      <w:pPr>
        <w:rPr>
          <w:b/>
          <w:i/>
        </w:rPr>
      </w:pPr>
      <w:r>
        <w:rPr>
          <w:b/>
          <w:i/>
        </w:rPr>
        <w:br/>
      </w:r>
      <w:r w:rsidRPr="00CE444B">
        <w:rPr>
          <w:b/>
          <w:i/>
        </w:rPr>
        <w:t>Proposals:</w:t>
      </w:r>
      <w:bookmarkStart w:id="13" w:name="_GoBack"/>
      <w:bookmarkEnd w:id="13"/>
    </w:p>
    <w:p w:rsidR="00CE444B" w:rsidRPr="00CE444B" w:rsidRDefault="00CE444B" w:rsidP="00CE444B">
      <w:pPr>
        <w:pStyle w:val="ListParagraph"/>
        <w:numPr>
          <w:ilvl w:val="0"/>
          <w:numId w:val="45"/>
        </w:numPr>
        <w:rPr>
          <w:rFonts w:ascii="Times New Roman" w:hAnsi="Times New Roman" w:cs="Times New Roman"/>
          <w:b/>
          <w:i/>
          <w:sz w:val="20"/>
          <w:szCs w:val="20"/>
        </w:rPr>
      </w:pPr>
      <w:r w:rsidRPr="00CE444B">
        <w:rPr>
          <w:rFonts w:ascii="Times New Roman" w:hAnsi="Times New Roman" w:cs="Times New Roman"/>
          <w:b/>
          <w:i/>
          <w:sz w:val="20"/>
          <w:szCs w:val="20"/>
        </w:rPr>
        <w:t>TTI duration for sidelink V2V is 0.5ms</w:t>
      </w:r>
    </w:p>
    <w:p w:rsidR="00CE444B" w:rsidRPr="00CE444B" w:rsidRDefault="00CE444B" w:rsidP="00CE444B">
      <w:pPr>
        <w:pStyle w:val="ListParagraph"/>
        <w:numPr>
          <w:ilvl w:val="1"/>
          <w:numId w:val="45"/>
        </w:numPr>
        <w:rPr>
          <w:rFonts w:ascii="Times New Roman" w:hAnsi="Times New Roman" w:cs="Times New Roman"/>
          <w:b/>
          <w:i/>
          <w:sz w:val="20"/>
          <w:szCs w:val="20"/>
        </w:rPr>
      </w:pPr>
      <w:r w:rsidRPr="00CE444B">
        <w:rPr>
          <w:rFonts w:ascii="Times New Roman" w:hAnsi="Times New Roman" w:cs="Times New Roman"/>
          <w:b/>
          <w:i/>
          <w:sz w:val="20"/>
          <w:szCs w:val="20"/>
        </w:rPr>
        <w:t>7 OFDM symbols with 15kHz subcarrier spacing are used per TTI</w:t>
      </w:r>
    </w:p>
    <w:p w:rsidR="001A380F" w:rsidRPr="00E44785" w:rsidRDefault="001A380F" w:rsidP="00E44785">
      <w:pPr>
        <w:jc w:val="both"/>
        <w:rPr>
          <w:lang w:val="en-US"/>
        </w:rPr>
      </w:pPr>
    </w:p>
    <w:p w:rsidR="00D0339F" w:rsidRPr="00744368" w:rsidRDefault="00D0339F" w:rsidP="00D0339F">
      <w:pPr>
        <w:pStyle w:val="Heading1"/>
      </w:pPr>
      <w:r w:rsidRPr="00744368">
        <w:t>Conclusions</w:t>
      </w:r>
      <w:r w:rsidR="00A11B11" w:rsidRPr="00744368">
        <w:t xml:space="preserve"> </w:t>
      </w:r>
    </w:p>
    <w:p w:rsidR="007E6F2A" w:rsidRPr="002019D0" w:rsidRDefault="007E6F2A" w:rsidP="007E6F2A">
      <w:pPr>
        <w:rPr>
          <w:b/>
          <w:i/>
        </w:rPr>
      </w:pPr>
      <w:r w:rsidRPr="002019D0">
        <w:rPr>
          <w:b/>
          <w:i/>
        </w:rPr>
        <w:t>Proposal:</w:t>
      </w:r>
    </w:p>
    <w:p w:rsidR="007E6F2A" w:rsidRPr="002019D0" w:rsidRDefault="007E6F2A" w:rsidP="007E6F2A">
      <w:pPr>
        <w:pStyle w:val="ListParagraph"/>
        <w:numPr>
          <w:ilvl w:val="0"/>
          <w:numId w:val="25"/>
        </w:numPr>
        <w:rPr>
          <w:rFonts w:ascii="Times New Roman" w:hAnsi="Times New Roman" w:cs="Times New Roman"/>
          <w:b/>
          <w:i/>
          <w:sz w:val="20"/>
          <w:szCs w:val="20"/>
        </w:rPr>
      </w:pPr>
      <w:r w:rsidRPr="002019D0">
        <w:rPr>
          <w:rFonts w:ascii="Times New Roman" w:hAnsi="Times New Roman" w:cs="Times New Roman"/>
          <w:b/>
          <w:i/>
          <w:sz w:val="20"/>
          <w:szCs w:val="20"/>
        </w:rPr>
        <w:t>DMRS are transmitted every 6th subcarrier in all OFDM symbols</w:t>
      </w:r>
      <w:r>
        <w:rPr>
          <w:rFonts w:ascii="Times New Roman" w:hAnsi="Times New Roman" w:cs="Times New Roman"/>
          <w:b/>
          <w:i/>
          <w:sz w:val="20"/>
          <w:szCs w:val="20"/>
        </w:rPr>
        <w:t>.</w:t>
      </w:r>
    </w:p>
    <w:p w:rsidR="007E6F2A" w:rsidRDefault="007E6F2A" w:rsidP="007E6F2A">
      <w:pPr>
        <w:pStyle w:val="ListParagraph"/>
        <w:numPr>
          <w:ilvl w:val="1"/>
          <w:numId w:val="25"/>
        </w:numPr>
        <w:rPr>
          <w:rFonts w:ascii="Times New Roman" w:hAnsi="Times New Roman" w:cs="Times New Roman"/>
          <w:b/>
          <w:i/>
          <w:sz w:val="20"/>
          <w:szCs w:val="20"/>
        </w:rPr>
      </w:pPr>
      <w:r>
        <w:rPr>
          <w:rFonts w:ascii="Times New Roman" w:hAnsi="Times New Roman" w:cs="Times New Roman"/>
          <w:b/>
          <w:i/>
          <w:sz w:val="20"/>
          <w:szCs w:val="20"/>
        </w:rPr>
        <w:t>Data is rate matched accordingly.</w:t>
      </w:r>
    </w:p>
    <w:p w:rsidR="007E6F2A" w:rsidRDefault="007E6F2A" w:rsidP="007E6F2A">
      <w:pPr>
        <w:pStyle w:val="ListParagraph"/>
        <w:numPr>
          <w:ilvl w:val="0"/>
          <w:numId w:val="25"/>
        </w:numPr>
        <w:rPr>
          <w:rFonts w:ascii="Times New Roman" w:hAnsi="Times New Roman" w:cs="Times New Roman"/>
          <w:b/>
          <w:i/>
          <w:sz w:val="20"/>
          <w:szCs w:val="20"/>
        </w:rPr>
      </w:pPr>
      <w:r>
        <w:rPr>
          <w:rFonts w:ascii="Times New Roman" w:hAnsi="Times New Roman" w:cs="Times New Roman"/>
          <w:b/>
          <w:i/>
          <w:sz w:val="20"/>
          <w:szCs w:val="20"/>
        </w:rPr>
        <w:t>Inform RAN4 about the DMRS mapping in order to adfjust existing power derating mechanisms if necessary.</w:t>
      </w:r>
    </w:p>
    <w:p w:rsidR="007E6F2A" w:rsidRPr="00C03DC2" w:rsidRDefault="007E6F2A" w:rsidP="007E6F2A">
      <w:pPr>
        <w:spacing w:before="240"/>
        <w:rPr>
          <w:b/>
          <w:i/>
        </w:rPr>
      </w:pPr>
      <w:r w:rsidRPr="00C26457">
        <w:rPr>
          <w:b/>
          <w:i/>
        </w:rPr>
        <w:t>Proposal</w:t>
      </w:r>
      <w:r>
        <w:rPr>
          <w:b/>
          <w:i/>
        </w:rPr>
        <w:t>s</w:t>
      </w:r>
      <w:r w:rsidRPr="00C26457">
        <w:rPr>
          <w:b/>
          <w:i/>
        </w:rPr>
        <w:t>:</w:t>
      </w:r>
    </w:p>
    <w:p w:rsidR="007E6F2A" w:rsidRPr="00E44785" w:rsidRDefault="007E6F2A" w:rsidP="007E6F2A">
      <w:pPr>
        <w:pStyle w:val="ListParagraph"/>
        <w:numPr>
          <w:ilvl w:val="0"/>
          <w:numId w:val="40"/>
        </w:numPr>
        <w:rPr>
          <w:b/>
          <w:i/>
        </w:rPr>
      </w:pPr>
      <w:r w:rsidRPr="00C03DC2">
        <w:rPr>
          <w:rFonts w:ascii="Times New Roman" w:hAnsi="Times New Roman" w:cs="Times New Roman"/>
          <w:b/>
          <w:i/>
          <w:sz w:val="20"/>
          <w:szCs w:val="20"/>
        </w:rPr>
        <w:t>Comb-like</w:t>
      </w:r>
      <w:r>
        <w:rPr>
          <w:rFonts w:ascii="Times New Roman" w:hAnsi="Times New Roman" w:cs="Times New Roman"/>
          <w:b/>
          <w:i/>
          <w:sz w:val="20"/>
          <w:szCs w:val="20"/>
        </w:rPr>
        <w:t xml:space="preserve"> transmission is used for the first OFDM symbol.</w:t>
      </w:r>
    </w:p>
    <w:p w:rsidR="007E6F2A" w:rsidRPr="00C03DC2" w:rsidRDefault="007E6F2A" w:rsidP="007E6F2A">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Inform RAN4 that halved AGC settling time is assumed by RAN1.</w:t>
      </w:r>
    </w:p>
    <w:p w:rsidR="007E6F2A" w:rsidRPr="00C03DC2" w:rsidRDefault="007E6F2A" w:rsidP="007E6F2A">
      <w:pPr>
        <w:spacing w:before="240"/>
        <w:rPr>
          <w:b/>
          <w:i/>
        </w:rPr>
      </w:pPr>
      <w:r w:rsidRPr="00C03DC2">
        <w:rPr>
          <w:b/>
          <w:i/>
        </w:rPr>
        <w:t>Proposal:</w:t>
      </w:r>
    </w:p>
    <w:p w:rsidR="007E6F2A" w:rsidRPr="007E6F2A" w:rsidRDefault="007E6F2A" w:rsidP="007E6F2A">
      <w:pPr>
        <w:pStyle w:val="ListParagraph"/>
        <w:numPr>
          <w:ilvl w:val="0"/>
          <w:numId w:val="40"/>
        </w:numPr>
        <w:jc w:val="both"/>
        <w:rPr>
          <w:b/>
          <w:i/>
        </w:rPr>
      </w:pPr>
      <w:r w:rsidRPr="00C26457">
        <w:rPr>
          <w:rFonts w:ascii="Times New Roman" w:hAnsi="Times New Roman" w:cs="Times New Roman"/>
          <w:b/>
          <w:i/>
          <w:sz w:val="20"/>
          <w:szCs w:val="20"/>
        </w:rPr>
        <w:t>Comb-l</w:t>
      </w:r>
      <w:r>
        <w:rPr>
          <w:rFonts w:ascii="Times New Roman" w:hAnsi="Times New Roman" w:cs="Times New Roman"/>
          <w:b/>
          <w:i/>
          <w:sz w:val="20"/>
          <w:szCs w:val="20"/>
        </w:rPr>
        <w:t>ike transmission is used for generating the last symbol in the subframe. Only the first half symbol is actually transmitted</w:t>
      </w:r>
      <w:r w:rsidRPr="00C26457">
        <w:rPr>
          <w:rFonts w:ascii="Times New Roman" w:hAnsi="Times New Roman" w:cs="Times New Roman"/>
          <w:b/>
          <w:i/>
          <w:sz w:val="20"/>
          <w:szCs w:val="20"/>
        </w:rPr>
        <w:t>.</w:t>
      </w:r>
    </w:p>
    <w:p w:rsidR="007E6F2A" w:rsidRPr="00CE444B" w:rsidRDefault="007E6F2A" w:rsidP="007E6F2A">
      <w:pPr>
        <w:spacing w:before="240"/>
        <w:rPr>
          <w:b/>
          <w:i/>
        </w:rPr>
      </w:pPr>
      <w:r w:rsidRPr="00CE444B">
        <w:rPr>
          <w:b/>
          <w:i/>
        </w:rPr>
        <w:t>Proposals:</w:t>
      </w:r>
    </w:p>
    <w:p w:rsidR="007E6F2A" w:rsidRPr="00CE444B" w:rsidRDefault="007E6F2A" w:rsidP="007E6F2A">
      <w:pPr>
        <w:pStyle w:val="ListParagraph"/>
        <w:numPr>
          <w:ilvl w:val="0"/>
          <w:numId w:val="45"/>
        </w:numPr>
        <w:rPr>
          <w:rFonts w:ascii="Times New Roman" w:hAnsi="Times New Roman" w:cs="Times New Roman"/>
          <w:b/>
          <w:i/>
          <w:sz w:val="20"/>
          <w:szCs w:val="20"/>
        </w:rPr>
      </w:pPr>
      <w:r w:rsidRPr="00CE444B">
        <w:rPr>
          <w:rFonts w:ascii="Times New Roman" w:hAnsi="Times New Roman" w:cs="Times New Roman"/>
          <w:b/>
          <w:i/>
          <w:sz w:val="20"/>
          <w:szCs w:val="20"/>
        </w:rPr>
        <w:t>TTI duration for sidelink V2V is 0.5ms</w:t>
      </w:r>
    </w:p>
    <w:p w:rsidR="007E6F2A" w:rsidRPr="00CE444B" w:rsidRDefault="007E6F2A" w:rsidP="007E6F2A">
      <w:pPr>
        <w:pStyle w:val="ListParagraph"/>
        <w:numPr>
          <w:ilvl w:val="1"/>
          <w:numId w:val="45"/>
        </w:numPr>
        <w:rPr>
          <w:rFonts w:ascii="Times New Roman" w:hAnsi="Times New Roman" w:cs="Times New Roman"/>
          <w:b/>
          <w:i/>
          <w:sz w:val="20"/>
          <w:szCs w:val="20"/>
        </w:rPr>
      </w:pPr>
      <w:r w:rsidRPr="00CE444B">
        <w:rPr>
          <w:rFonts w:ascii="Times New Roman" w:hAnsi="Times New Roman" w:cs="Times New Roman"/>
          <w:b/>
          <w:i/>
          <w:sz w:val="20"/>
          <w:szCs w:val="20"/>
        </w:rPr>
        <w:t>7 OFDM symbols with 15kHz subcarrier spacing are used per TTI</w:t>
      </w:r>
    </w:p>
    <w:p w:rsidR="00917997" w:rsidRPr="000179BC" w:rsidRDefault="00917997" w:rsidP="00917997">
      <w:pPr>
        <w:rPr>
          <w:highlight w:val="yellow"/>
          <w:lang w:val="en-US"/>
        </w:rPr>
      </w:pPr>
    </w:p>
    <w:p w:rsidR="009A1074" w:rsidRPr="00DA1475" w:rsidRDefault="00C02A80" w:rsidP="00856691">
      <w:pPr>
        <w:pStyle w:val="Heading1"/>
      </w:pPr>
      <w:r w:rsidRPr="00DA1475">
        <w:t>References</w:t>
      </w:r>
    </w:p>
    <w:p w:rsidR="00B553F0" w:rsidRPr="007E6F2A" w:rsidRDefault="00B553F0" w:rsidP="007E6F2A">
      <w:pPr>
        <w:pStyle w:val="ListParagraph"/>
        <w:numPr>
          <w:ilvl w:val="0"/>
          <w:numId w:val="46"/>
        </w:numPr>
        <w:spacing w:after="240"/>
        <w:rPr>
          <w:rFonts w:ascii="Times New Roman" w:hAnsi="Times New Roman" w:cs="Times New Roman"/>
          <w:sz w:val="20"/>
        </w:rPr>
      </w:pPr>
      <w:r w:rsidRPr="007E6F2A">
        <w:rPr>
          <w:rFonts w:ascii="Times New Roman" w:hAnsi="Times New Roman" w:cs="Times New Roman"/>
          <w:sz w:val="20"/>
        </w:rPr>
        <w:t>RP-152293, “New WI proposal: Support for V2V services based on LTE sidelink”</w:t>
      </w:r>
      <w:r w:rsidR="005B5508">
        <w:rPr>
          <w:rFonts w:ascii="Times New Roman" w:hAnsi="Times New Roman" w:cs="Times New Roman"/>
          <w:sz w:val="20"/>
        </w:rPr>
        <w:t>.</w:t>
      </w:r>
    </w:p>
    <w:p w:rsidR="00B553F0" w:rsidRPr="007E6F2A" w:rsidRDefault="00B553F0" w:rsidP="007E6F2A">
      <w:pPr>
        <w:pStyle w:val="ListParagraph"/>
        <w:numPr>
          <w:ilvl w:val="0"/>
          <w:numId w:val="46"/>
        </w:numPr>
        <w:spacing w:after="240"/>
        <w:rPr>
          <w:rFonts w:ascii="Times New Roman" w:hAnsi="Times New Roman" w:cs="Times New Roman"/>
          <w:sz w:val="20"/>
        </w:rPr>
      </w:pPr>
      <w:r w:rsidRPr="007E6F2A">
        <w:rPr>
          <w:rFonts w:ascii="Times New Roman" w:hAnsi="Times New Roman" w:cs="Times New Roman"/>
          <w:sz w:val="20"/>
        </w:rPr>
        <w:t>3GPP TR 36.885, “Study on LTE-based V2X Services; (Release 14)”</w:t>
      </w:r>
      <w:r w:rsidR="005B5508">
        <w:rPr>
          <w:rFonts w:ascii="Times New Roman" w:hAnsi="Times New Roman" w:cs="Times New Roman"/>
          <w:sz w:val="20"/>
        </w:rPr>
        <w:t>.</w:t>
      </w:r>
    </w:p>
    <w:p w:rsidR="00B553F0" w:rsidRPr="007E6F2A" w:rsidRDefault="00B553F0" w:rsidP="007E6F2A">
      <w:pPr>
        <w:pStyle w:val="ListParagraph"/>
        <w:numPr>
          <w:ilvl w:val="0"/>
          <w:numId w:val="46"/>
        </w:numPr>
        <w:spacing w:after="240"/>
        <w:rPr>
          <w:rFonts w:ascii="Times New Roman" w:hAnsi="Times New Roman" w:cs="Times New Roman"/>
          <w:sz w:val="20"/>
        </w:rPr>
      </w:pPr>
      <w:bookmarkStart w:id="14" w:name="_Ref447291146"/>
      <w:r w:rsidRPr="007E6F2A">
        <w:rPr>
          <w:rFonts w:ascii="Times New Roman" w:hAnsi="Times New Roman" w:cs="Times New Roman"/>
          <w:sz w:val="20"/>
        </w:rPr>
        <w:t>R1-162826, “Link Level Simulations for Sidelink”, Ericsson</w:t>
      </w:r>
      <w:bookmarkEnd w:id="14"/>
      <w:r w:rsidR="005B5508">
        <w:rPr>
          <w:rFonts w:ascii="Times New Roman" w:hAnsi="Times New Roman" w:cs="Times New Roman"/>
          <w:sz w:val="20"/>
        </w:rPr>
        <w:t>.</w:t>
      </w:r>
    </w:p>
    <w:p w:rsidR="00B553F0" w:rsidRDefault="00B553F0" w:rsidP="007E6F2A">
      <w:pPr>
        <w:pStyle w:val="ListParagraph"/>
        <w:numPr>
          <w:ilvl w:val="0"/>
          <w:numId w:val="46"/>
        </w:numPr>
        <w:spacing w:after="240"/>
        <w:rPr>
          <w:rFonts w:ascii="Times New Roman" w:hAnsi="Times New Roman" w:cs="Times New Roman"/>
          <w:sz w:val="20"/>
        </w:rPr>
      </w:pPr>
      <w:bookmarkStart w:id="15" w:name="_Ref447291246"/>
      <w:r w:rsidRPr="007E6F2A">
        <w:rPr>
          <w:rFonts w:ascii="Times New Roman" w:hAnsi="Times New Roman" w:cs="Times New Roman"/>
          <w:sz w:val="20"/>
        </w:rPr>
        <w:t>R1-162830, “System Level Simulation Results of Potential PC5 Design Options for V2X”, Ericsson</w:t>
      </w:r>
      <w:bookmarkEnd w:id="15"/>
      <w:r w:rsidR="005B5508">
        <w:rPr>
          <w:rFonts w:ascii="Times New Roman" w:hAnsi="Times New Roman" w:cs="Times New Roman"/>
          <w:sz w:val="20"/>
        </w:rPr>
        <w:t>.</w:t>
      </w:r>
    </w:p>
    <w:p w:rsidR="005B5508" w:rsidRPr="007E6F2A" w:rsidRDefault="005B5508" w:rsidP="007E6F2A">
      <w:pPr>
        <w:pStyle w:val="ListParagraph"/>
        <w:numPr>
          <w:ilvl w:val="0"/>
          <w:numId w:val="46"/>
        </w:numPr>
        <w:spacing w:after="240"/>
        <w:rPr>
          <w:rFonts w:ascii="Times New Roman" w:hAnsi="Times New Roman" w:cs="Times New Roman"/>
          <w:sz w:val="20"/>
        </w:rPr>
      </w:pPr>
      <w:bookmarkStart w:id="16" w:name="_Ref447291879"/>
      <w:r w:rsidRPr="005B5508">
        <w:rPr>
          <w:rFonts w:ascii="Times New Roman" w:hAnsi="Times New Roman" w:cs="Times New Roman"/>
          <w:sz w:val="20"/>
        </w:rPr>
        <w:t>R1-162833</w:t>
      </w:r>
      <w:r>
        <w:rPr>
          <w:rFonts w:ascii="Times New Roman" w:hAnsi="Times New Roman" w:cs="Times New Roman"/>
          <w:sz w:val="20"/>
        </w:rPr>
        <w:t>, “</w:t>
      </w:r>
      <w:r w:rsidRPr="005B5508">
        <w:rPr>
          <w:rFonts w:ascii="Times New Roman" w:hAnsi="Times New Roman" w:cs="Times New Roman"/>
          <w:sz w:val="20"/>
        </w:rPr>
        <w:t>Discussion on V2X PC5 Scheduling, Resource Pools and Resource Patterns</w:t>
      </w:r>
      <w:r>
        <w:rPr>
          <w:rFonts w:ascii="Times New Roman" w:hAnsi="Times New Roman" w:cs="Times New Roman"/>
          <w:sz w:val="20"/>
        </w:rPr>
        <w:t>”, Ericsson.</w:t>
      </w:r>
      <w:bookmarkEnd w:id="16"/>
    </w:p>
    <w:p w:rsidR="002019D0" w:rsidRPr="007E6F2A" w:rsidRDefault="002019D0" w:rsidP="00417A97">
      <w:pPr>
        <w:rPr>
          <w:lang w:val="en-US"/>
        </w:rPr>
      </w:pPr>
    </w:p>
    <w:p w:rsidR="00417A97" w:rsidRPr="007E6F2A" w:rsidRDefault="00417A97" w:rsidP="00A94ADF">
      <w:pPr>
        <w:rPr>
          <w:lang w:val="en-US"/>
        </w:rPr>
      </w:pPr>
    </w:p>
    <w:sectPr w:rsidR="00417A97" w:rsidRPr="007E6F2A" w:rsidSect="004B31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C32" w:rsidRDefault="00E77C32">
      <w:r>
        <w:separator/>
      </w:r>
    </w:p>
  </w:endnote>
  <w:endnote w:type="continuationSeparator" w:id="0">
    <w:p w:rsidR="00E77C32" w:rsidRDefault="00E7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C32" w:rsidRDefault="00E77C32">
      <w:r>
        <w:separator/>
      </w:r>
    </w:p>
  </w:footnote>
  <w:footnote w:type="continuationSeparator" w:id="0">
    <w:p w:rsidR="00E77C32" w:rsidRDefault="00E77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3965323"/>
    <w:multiLevelType w:val="hybridMultilevel"/>
    <w:tmpl w:val="19A88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97310"/>
    <w:multiLevelType w:val="hybridMultilevel"/>
    <w:tmpl w:val="42B0E81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65D72"/>
    <w:multiLevelType w:val="hybridMultilevel"/>
    <w:tmpl w:val="5928D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D4516"/>
    <w:multiLevelType w:val="hybridMultilevel"/>
    <w:tmpl w:val="3CFE4C90"/>
    <w:lvl w:ilvl="0" w:tplc="7AE4ED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0DB1B79"/>
    <w:multiLevelType w:val="hybridMultilevel"/>
    <w:tmpl w:val="78A6F8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44A5175"/>
    <w:multiLevelType w:val="hybridMultilevel"/>
    <w:tmpl w:val="63EEF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464106"/>
    <w:multiLevelType w:val="hybridMultilevel"/>
    <w:tmpl w:val="A41C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1E1992"/>
    <w:multiLevelType w:val="hybridMultilevel"/>
    <w:tmpl w:val="49B2C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35488C"/>
    <w:multiLevelType w:val="hybridMultilevel"/>
    <w:tmpl w:val="E0C4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B10AEF"/>
    <w:multiLevelType w:val="hybridMultilevel"/>
    <w:tmpl w:val="56C67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361D4D"/>
    <w:multiLevelType w:val="hybridMultilevel"/>
    <w:tmpl w:val="8584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E831DF"/>
    <w:multiLevelType w:val="hybridMultilevel"/>
    <w:tmpl w:val="08285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F54969"/>
    <w:multiLevelType w:val="hybridMultilevel"/>
    <w:tmpl w:val="FB70AC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3F41AFE"/>
    <w:multiLevelType w:val="hybridMultilevel"/>
    <w:tmpl w:val="51FE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771B46"/>
    <w:multiLevelType w:val="hybridMultilevel"/>
    <w:tmpl w:val="031475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49074561"/>
    <w:multiLevelType w:val="hybridMultilevel"/>
    <w:tmpl w:val="095C68B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nsid w:val="49131578"/>
    <w:multiLevelType w:val="hybridMultilevel"/>
    <w:tmpl w:val="AC328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730691"/>
    <w:multiLevelType w:val="hybridMultilevel"/>
    <w:tmpl w:val="3AB83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FA2D4A"/>
    <w:multiLevelType w:val="hybridMultilevel"/>
    <w:tmpl w:val="F37C8916"/>
    <w:lvl w:ilvl="0" w:tplc="379CE036">
      <w:start w:val="1"/>
      <w:numFmt w:val="decimal"/>
      <w:lvlText w:val="G%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635F0F"/>
    <w:multiLevelType w:val="hybridMultilevel"/>
    <w:tmpl w:val="33886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7247D2"/>
    <w:multiLevelType w:val="hybridMultilevel"/>
    <w:tmpl w:val="6DE09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001676"/>
    <w:multiLevelType w:val="hybridMultilevel"/>
    <w:tmpl w:val="BB80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80302C"/>
    <w:multiLevelType w:val="hybridMultilevel"/>
    <w:tmpl w:val="69C4E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4A6B38"/>
    <w:multiLevelType w:val="hybridMultilevel"/>
    <w:tmpl w:val="09FA04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68AD0C49"/>
    <w:multiLevelType w:val="hybridMultilevel"/>
    <w:tmpl w:val="D95E9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71F63337"/>
    <w:multiLevelType w:val="hybridMultilevel"/>
    <w:tmpl w:val="F7809F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nsid w:val="74926102"/>
    <w:multiLevelType w:val="hybridMultilevel"/>
    <w:tmpl w:val="A734F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5">
    <w:nsid w:val="7DC77ECF"/>
    <w:multiLevelType w:val="hybridMultilevel"/>
    <w:tmpl w:val="251A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4D27AE"/>
    <w:multiLevelType w:val="hybridMultilevel"/>
    <w:tmpl w:val="D7D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3"/>
  </w:num>
  <w:num w:numId="3">
    <w:abstractNumId w:val="41"/>
  </w:num>
  <w:num w:numId="4">
    <w:abstractNumId w:val="20"/>
  </w:num>
  <w:num w:numId="5">
    <w:abstractNumId w:val="26"/>
  </w:num>
  <w:num w:numId="6">
    <w:abstractNumId w:val="44"/>
  </w:num>
  <w:num w:numId="7">
    <w:abstractNumId w:val="5"/>
  </w:num>
  <w:num w:numId="8">
    <w:abstractNumId w:val="2"/>
  </w:num>
  <w:num w:numId="9">
    <w:abstractNumId w:val="33"/>
  </w:num>
  <w:num w:numId="10">
    <w:abstractNumId w:val="14"/>
  </w:num>
  <w:num w:numId="11">
    <w:abstractNumId w:val="38"/>
  </w:num>
  <w:num w:numId="12">
    <w:abstractNumId w:val="21"/>
  </w:num>
  <w:num w:numId="13">
    <w:abstractNumId w:val="35"/>
  </w:num>
  <w:num w:numId="14">
    <w:abstractNumId w:val="39"/>
  </w:num>
  <w:num w:numId="15">
    <w:abstractNumId w:val="37"/>
  </w:num>
  <w:num w:numId="16">
    <w:abstractNumId w:val="8"/>
  </w:num>
  <w:num w:numId="17">
    <w:abstractNumId w:val="25"/>
  </w:num>
  <w:num w:numId="18">
    <w:abstractNumId w:val="9"/>
  </w:num>
  <w:num w:numId="19">
    <w:abstractNumId w:val="4"/>
  </w:num>
  <w:num w:numId="20">
    <w:abstractNumId w:val="28"/>
  </w:num>
  <w:num w:numId="21">
    <w:abstractNumId w:val="3"/>
  </w:num>
  <w:num w:numId="22">
    <w:abstractNumId w:val="46"/>
  </w:num>
  <w:num w:numId="23">
    <w:abstractNumId w:val="45"/>
  </w:num>
  <w:num w:numId="24">
    <w:abstractNumId w:val="22"/>
  </w:num>
  <w:num w:numId="25">
    <w:abstractNumId w:val="30"/>
  </w:num>
  <w:num w:numId="26">
    <w:abstractNumId w:val="42"/>
  </w:num>
  <w:num w:numId="27">
    <w:abstractNumId w:val="15"/>
  </w:num>
  <w:num w:numId="28">
    <w:abstractNumId w:val="7"/>
  </w:num>
  <w:num w:numId="29">
    <w:abstractNumId w:val="29"/>
  </w:num>
  <w:num w:numId="30">
    <w:abstractNumId w:val="36"/>
  </w:num>
  <w:num w:numId="31">
    <w:abstractNumId w:val="18"/>
  </w:num>
  <w:num w:numId="32">
    <w:abstractNumId w:val="24"/>
  </w:num>
  <w:num w:numId="33">
    <w:abstractNumId w:val="31"/>
  </w:num>
  <w:num w:numId="34">
    <w:abstractNumId w:val="11"/>
  </w:num>
  <w:num w:numId="35">
    <w:abstractNumId w:val="13"/>
  </w:num>
  <w:num w:numId="36">
    <w:abstractNumId w:val="32"/>
  </w:num>
  <w:num w:numId="37">
    <w:abstractNumId w:val="23"/>
  </w:num>
  <w:num w:numId="38">
    <w:abstractNumId w:val="10"/>
  </w:num>
  <w:num w:numId="39">
    <w:abstractNumId w:val="16"/>
  </w:num>
  <w:num w:numId="40">
    <w:abstractNumId w:val="1"/>
  </w:num>
  <w:num w:numId="41">
    <w:abstractNumId w:val="12"/>
  </w:num>
  <w:num w:numId="42">
    <w:abstractNumId w:val="40"/>
  </w:num>
  <w:num w:numId="43">
    <w:abstractNumId w:val="19"/>
  </w:num>
  <w:num w:numId="44">
    <w:abstractNumId w:val="34"/>
  </w:num>
  <w:num w:numId="45">
    <w:abstractNumId w:val="17"/>
  </w:num>
  <w:num w:numId="4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AC3"/>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5DB"/>
    <w:rsid w:val="00283507"/>
    <w:rsid w:val="00283FFD"/>
    <w:rsid w:val="0028409F"/>
    <w:rsid w:val="00284161"/>
    <w:rsid w:val="00284974"/>
    <w:rsid w:val="00284A2B"/>
    <w:rsid w:val="0028542B"/>
    <w:rsid w:val="00285769"/>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3917"/>
    <w:rsid w:val="0038404A"/>
    <w:rsid w:val="0038420A"/>
    <w:rsid w:val="0038443A"/>
    <w:rsid w:val="003847C1"/>
    <w:rsid w:val="00385BB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274"/>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508"/>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D27"/>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353"/>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6F2A"/>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17D30"/>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EC"/>
    <w:rsid w:val="0091364E"/>
    <w:rsid w:val="00913B5B"/>
    <w:rsid w:val="009149B0"/>
    <w:rsid w:val="00914B21"/>
    <w:rsid w:val="00915772"/>
    <w:rsid w:val="009158C7"/>
    <w:rsid w:val="00915D5D"/>
    <w:rsid w:val="00915DC4"/>
    <w:rsid w:val="009160FC"/>
    <w:rsid w:val="0091679C"/>
    <w:rsid w:val="00916A4D"/>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5AB4"/>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057"/>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214"/>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3F0"/>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60CD"/>
    <w:rsid w:val="00DA6DAA"/>
    <w:rsid w:val="00DB0052"/>
    <w:rsid w:val="00DB0437"/>
    <w:rsid w:val="00DB0452"/>
    <w:rsid w:val="00DB09FA"/>
    <w:rsid w:val="00DB0FCF"/>
    <w:rsid w:val="00DB119D"/>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75D"/>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77C3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9EC5D-F8A6-42CF-BAE1-112865915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2016-04-01T15:16:00Z</dcterms:modified>
</cp:coreProperties>
</file>